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672" w:rsidRDefault="00653672" w:rsidP="00653672">
      <w:pPr>
        <w:suppressLineNumbers/>
        <w:jc w:val="center"/>
        <w:rPr>
          <w:rtl/>
        </w:rPr>
      </w:pPr>
      <w:bookmarkStart w:id="0" w:name="_GoBack"/>
      <w:bookmarkEnd w:id="0"/>
      <w:r>
        <w:drawing>
          <wp:inline distT="0" distB="0" distL="0" distR="0" wp14:anchorId="18E1B8B8" wp14:editId="6DA24E3F">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653672" w:rsidRDefault="00653672" w:rsidP="00653672">
      <w:pPr>
        <w:suppressLineNumbers/>
        <w:jc w:val="center"/>
        <w:rPr>
          <w:rtl/>
        </w:rPr>
      </w:pPr>
    </w:p>
    <w:tbl>
      <w:tblPr>
        <w:bidiVisual/>
        <w:tblW w:w="0" w:type="auto"/>
        <w:jc w:val="center"/>
        <w:tblLook w:val="04A0" w:firstRow="1" w:lastRow="0" w:firstColumn="1" w:lastColumn="0" w:noHBand="0" w:noVBand="1"/>
      </w:tblPr>
      <w:tblGrid>
        <w:gridCol w:w="3513"/>
        <w:gridCol w:w="4793"/>
      </w:tblGrid>
      <w:tr w:rsidR="00653672" w:rsidTr="00653672">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653672" w:rsidRDefault="00653672">
                <w:pPr>
                  <w:pStyle w:val="a5"/>
                  <w:jc w:val="center"/>
                  <w:rPr>
                    <w:rFonts w:ascii="Tahoma" w:hAnsi="Tahoma"/>
                    <w:color w:val="000080"/>
                    <w:sz w:val="32"/>
                    <w:szCs w:val="32"/>
                  </w:rPr>
                </w:pPr>
                <w:r>
                  <w:rPr>
                    <w:rFonts w:ascii="Tahoma" w:hAnsi="Tahoma"/>
                    <w:color w:val="000080"/>
                    <w:sz w:val="32"/>
                    <w:szCs w:val="32"/>
                    <w:rtl/>
                  </w:rPr>
                  <w:t>בית המשפט המחוזי בבאר שבע</w:t>
                </w:r>
              </w:p>
            </w:tc>
          </w:sdtContent>
        </w:sdt>
      </w:tr>
      <w:tr w:rsidR="00653672" w:rsidTr="00653672">
        <w:trPr>
          <w:gridAfter w:val="1"/>
          <w:wAfter w:w="4810" w:type="dxa"/>
          <w:trHeight w:val="337"/>
          <w:jc w:val="center"/>
        </w:trPr>
        <w:tc>
          <w:tcPr>
            <w:tcW w:w="3674" w:type="dxa"/>
          </w:tcPr>
          <w:p w:rsidR="00653672" w:rsidRDefault="00653672">
            <w:pPr>
              <w:pStyle w:val="a5"/>
              <w:jc w:val="right"/>
              <w:rPr>
                <w:b/>
                <w:bCs/>
                <w:noProof w:val="0"/>
                <w:sz w:val="26"/>
                <w:szCs w:val="26"/>
                <w:rtl/>
              </w:rPr>
            </w:pPr>
          </w:p>
        </w:tc>
      </w:tr>
    </w:tbl>
    <w:p w:rsidR="00653672" w:rsidRDefault="00653672" w:rsidP="00653672">
      <w:pPr>
        <w:suppressLineNumbers/>
        <w:rPr>
          <w:rtl/>
        </w:rPr>
      </w:pPr>
    </w:p>
    <w:p w:rsidR="00653672" w:rsidRDefault="00BE572B" w:rsidP="00653672">
      <w:pPr>
        <w:divId w:val="2020891664"/>
        <w:rPr>
          <w:b/>
          <w:bCs/>
          <w:noProof w:val="0"/>
          <w:sz w:val="26"/>
          <w:szCs w:val="26"/>
        </w:rPr>
      </w:pPr>
      <w:sdt>
        <w:sdtPr>
          <w:rPr>
            <w:rtl/>
          </w:rPr>
          <w:alias w:val="1170"/>
          <w:tag w:val="1170"/>
          <w:id w:val="1066377040"/>
          <w:text w:multiLine="1"/>
        </w:sdtPr>
        <w:sdtEndPr/>
        <w:sdtContent>
          <w:proofErr w:type="spellStart"/>
          <w:r w:rsidR="00653672">
            <w:rPr>
              <w:b/>
              <w:bCs/>
              <w:noProof w:val="0"/>
              <w:sz w:val="26"/>
              <w:szCs w:val="26"/>
              <w:rtl/>
            </w:rPr>
            <w:t>רמ"ש</w:t>
          </w:r>
          <w:proofErr w:type="spellEnd"/>
        </w:sdtContent>
      </w:sdt>
      <w:r w:rsidR="00653672">
        <w:rPr>
          <w:b/>
          <w:bCs/>
          <w:noProof w:val="0"/>
          <w:sz w:val="26"/>
          <w:szCs w:val="26"/>
          <w:rtl/>
        </w:rPr>
        <w:t xml:space="preserve"> </w:t>
      </w:r>
      <w:sdt>
        <w:sdtPr>
          <w:rPr>
            <w:rtl/>
          </w:rPr>
          <w:alias w:val="1171"/>
          <w:tag w:val="1171"/>
          <w:id w:val="257034231"/>
          <w:text w:multiLine="1"/>
        </w:sdtPr>
        <w:sdtEndPr/>
        <w:sdtContent>
          <w:r w:rsidR="00653672">
            <w:rPr>
              <w:b/>
              <w:bCs/>
              <w:noProof w:val="0"/>
              <w:sz w:val="26"/>
              <w:szCs w:val="26"/>
              <w:rtl/>
            </w:rPr>
            <w:t>26272-07-24</w:t>
          </w:r>
        </w:sdtContent>
      </w:sdt>
      <w:r w:rsidR="00653672">
        <w:rPr>
          <w:b/>
          <w:bCs/>
          <w:noProof w:val="0"/>
          <w:sz w:val="26"/>
          <w:szCs w:val="26"/>
          <w:rtl/>
        </w:rPr>
        <w:t xml:space="preserve"> </w:t>
      </w:r>
      <w:sdt>
        <w:sdtPr>
          <w:rPr>
            <w:b/>
            <w:bCs/>
            <w:noProof w:val="0"/>
            <w:sz w:val="26"/>
            <w:szCs w:val="26"/>
            <w:rtl/>
          </w:rPr>
          <w:alias w:val="3154"/>
          <w:tag w:val="3154"/>
          <w:id w:val="-1714497037"/>
          <w:placeholder>
            <w:docPart w:val="7AF3BE0EFE4C4397ABE3E439848684D9"/>
          </w:placeholder>
          <w:text w:multiLine="1"/>
        </w:sdtPr>
        <w:sdtEndPr/>
        <w:sdtContent>
          <w:r w:rsidR="00653672">
            <w:rPr>
              <w:rFonts w:hint="cs"/>
              <w:b/>
              <w:bCs/>
              <w:noProof w:val="0"/>
              <w:sz w:val="26"/>
              <w:szCs w:val="26"/>
              <w:rtl/>
            </w:rPr>
            <w:t>פלוני</w:t>
          </w:r>
          <w:r w:rsidR="00653672">
            <w:rPr>
              <w:b/>
              <w:bCs/>
              <w:noProof w:val="0"/>
              <w:sz w:val="26"/>
              <w:szCs w:val="26"/>
              <w:rtl/>
            </w:rPr>
            <w:t xml:space="preserve"> נ' </w:t>
          </w:r>
          <w:r w:rsidR="00653672">
            <w:rPr>
              <w:rFonts w:hint="cs"/>
              <w:b/>
              <w:bCs/>
              <w:noProof w:val="0"/>
              <w:sz w:val="26"/>
              <w:szCs w:val="26"/>
              <w:rtl/>
            </w:rPr>
            <w:t xml:space="preserve">אלמונית </w:t>
          </w:r>
          <w:r w:rsidR="00653672">
            <w:rPr>
              <w:b/>
              <w:bCs/>
              <w:noProof w:val="0"/>
              <w:sz w:val="26"/>
              <w:szCs w:val="26"/>
              <w:rtl/>
            </w:rPr>
            <w:t>ואח'</w:t>
          </w:r>
        </w:sdtContent>
      </w:sdt>
      <w:r w:rsidR="00653672">
        <w:rPr>
          <w:b/>
          <w:bCs/>
          <w:noProof w:val="0"/>
          <w:sz w:val="26"/>
          <w:szCs w:val="26"/>
          <w:rtl/>
        </w:rPr>
        <w:t xml:space="preserve"> </w:t>
      </w:r>
    </w:p>
    <w:p w:rsidR="00653672" w:rsidRDefault="00653672">
      <w:pPr>
        <w:divId w:val="2020891664"/>
        <w:rPr>
          <w:b/>
          <w:bCs/>
          <w:noProof w:val="0"/>
          <w:sz w:val="2"/>
          <w:szCs w:val="2"/>
          <w:rtl/>
        </w:rPr>
      </w:pPr>
    </w:p>
    <w:p w:rsidR="00653672" w:rsidRDefault="00653672">
      <w:pPr>
        <w:divId w:val="2020891664"/>
        <w:rPr>
          <w:sz w:val="20"/>
          <w:szCs w:val="20"/>
          <w:rtl/>
        </w:rPr>
      </w:pPr>
      <w:r>
        <w:rPr>
          <w:rtl/>
        </w:rPr>
        <w:t xml:space="preserve">                           </w:t>
      </w:r>
      <w:r>
        <w:rPr>
          <w:sz w:val="20"/>
          <w:szCs w:val="20"/>
          <w:rtl/>
        </w:rPr>
        <w:t xml:space="preserve">                                       </w:t>
      </w:r>
    </w:p>
    <w:p w:rsidR="00653672" w:rsidRDefault="00653672" w:rsidP="00653672">
      <w:pPr>
        <w:suppressLineNumbers/>
        <w:rPr>
          <w:rtl/>
        </w:rPr>
      </w:pPr>
      <w:r>
        <w:rPr>
          <w:sz w:val="20"/>
          <w:szCs w:val="20"/>
          <w:rtl/>
        </w:rPr>
        <w:t xml:space="preserve">תיק חיצוני: </w:t>
      </w:r>
      <w:sdt>
        <w:sdtPr>
          <w:rPr>
            <w:sz w:val="20"/>
            <w:szCs w:val="20"/>
            <w:rtl/>
          </w:rPr>
          <w:alias w:val="1198"/>
          <w:tag w:val="1198"/>
          <w:id w:val="-1755966748"/>
          <w:lock w:val="contentLocked"/>
          <w:placeholder>
            <w:docPart w:val="747659CE6BAD43CBA93D8225CB415699"/>
          </w:placeholder>
          <w:text w:multiLine="1"/>
        </w:sdtPr>
        <w:sdtEndPr/>
        <w:sdtContent/>
      </w:sdt>
      <w:r>
        <w:rPr>
          <w:sz w:val="20"/>
          <w:szCs w:val="20"/>
          <w:rtl/>
        </w:rPr>
        <w:t xml:space="preserve">   </w:t>
      </w:r>
    </w:p>
    <w:p w:rsidR="00653672" w:rsidRDefault="00653672" w:rsidP="00653672">
      <w:pPr>
        <w:suppressLineNumbers/>
        <w:rPr>
          <w:rtl/>
        </w:rPr>
      </w:pPr>
    </w:p>
    <w:tbl>
      <w:tblPr>
        <w:tblStyle w:val="a4"/>
        <w:bidiVisual/>
        <w:tblW w:w="9474"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52"/>
        <w:gridCol w:w="222"/>
      </w:tblGrid>
      <w:tr w:rsidR="00653672" w:rsidTr="00653672">
        <w:trPr>
          <w:jc w:val="center"/>
        </w:trPr>
        <w:tc>
          <w:tcPr>
            <w:tcW w:w="9252" w:type="dxa"/>
          </w:tcPr>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53672">
              <w:trPr>
                <w:jc w:val="center"/>
              </w:trPr>
              <w:tc>
                <w:tcPr>
                  <w:tcW w:w="743" w:type="dxa"/>
                  <w:hideMark/>
                </w:tcPr>
                <w:p w:rsidR="00653672" w:rsidRDefault="00653672">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653672" w:rsidRDefault="00653672" w:rsidP="00653672">
                  <w:pPr>
                    <w:suppressLineNumbers/>
                    <w:jc w:val="left"/>
                    <w:rPr>
                      <w:rFonts w:ascii="Arial" w:hAnsi="Arial"/>
                      <w:b/>
                      <w:bCs/>
                      <w:sz w:val="26"/>
                      <w:szCs w:val="26"/>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653672" w:rsidRDefault="00653672">
                  <w:pPr>
                    <w:suppressLineNumbers/>
                    <w:rPr>
                      <w:rFonts w:ascii="Arial" w:hAnsi="Arial" w:cs="FrankRuehl"/>
                      <w:sz w:val="26"/>
                      <w:szCs w:val="26"/>
                      <w:highlight w:val="yellow"/>
                      <w:rtl/>
                    </w:rPr>
                  </w:pPr>
                </w:p>
              </w:tc>
            </w:tr>
            <w:tr w:rsidR="00653672">
              <w:trPr>
                <w:jc w:val="center"/>
              </w:trPr>
              <w:tc>
                <w:tcPr>
                  <w:tcW w:w="3249" w:type="dxa"/>
                  <w:gridSpan w:val="2"/>
                </w:tcPr>
                <w:p w:rsidR="00653672" w:rsidRDefault="00653672">
                  <w:pPr>
                    <w:suppressLineNumbers/>
                    <w:rPr>
                      <w:rFonts w:ascii="Arial" w:hAnsi="Arial"/>
                      <w:b/>
                      <w:bCs/>
                      <w:noProof w:val="0"/>
                      <w:sz w:val="26"/>
                      <w:szCs w:val="26"/>
                      <w:rtl/>
                    </w:rPr>
                  </w:pPr>
                </w:p>
                <w:p w:rsidR="00653672" w:rsidRDefault="00653672">
                  <w:pPr>
                    <w:suppressLineNumbers/>
                    <w:jc w:val="left"/>
                    <w:rPr>
                      <w:rFonts w:ascii="Arial" w:hAnsi="Arial"/>
                      <w:b/>
                      <w:bCs/>
                      <w:noProof w:val="0"/>
                      <w:sz w:val="26"/>
                      <w:szCs w:val="26"/>
                    </w:rPr>
                  </w:pPr>
                  <w:r>
                    <w:rPr>
                      <w:rFonts w:ascii="Arial" w:hAnsi="Arial"/>
                      <w:b/>
                      <w:bCs/>
                      <w:noProof w:val="0"/>
                      <w:sz w:val="26"/>
                      <w:szCs w:val="26"/>
                      <w:rtl/>
                    </w:rPr>
                    <w:t>המבקש</w:t>
                  </w:r>
                </w:p>
              </w:tc>
              <w:tc>
                <w:tcPr>
                  <w:tcW w:w="5571" w:type="dxa"/>
                </w:tcPr>
                <w:p w:rsidR="00653672" w:rsidRDefault="00653672">
                  <w:pPr>
                    <w:suppressLineNumbers/>
                    <w:rPr>
                      <w:rFonts w:ascii="Arial" w:hAnsi="Arial"/>
                      <w:b/>
                      <w:bCs/>
                      <w:noProof w:val="0"/>
                      <w:sz w:val="26"/>
                      <w:szCs w:val="26"/>
                    </w:rPr>
                  </w:pPr>
                </w:p>
                <w:p w:rsidR="00653672" w:rsidRDefault="00653672" w:rsidP="00653672">
                  <w:pPr>
                    <w:suppressLineNumbers/>
                    <w:jc w:val="left"/>
                    <w:rPr>
                      <w:rFonts w:ascii="Arial" w:hAnsi="Arial"/>
                      <w:b/>
                      <w:bCs/>
                      <w:noProof w:val="0"/>
                      <w:sz w:val="26"/>
                      <w:szCs w:val="26"/>
                      <w:rtl/>
                    </w:rPr>
                  </w:pPr>
                  <w:r>
                    <w:rPr>
                      <w:rFonts w:ascii="Arial" w:hAnsi="Arial" w:hint="cs"/>
                      <w:b/>
                      <w:bCs/>
                      <w:noProof w:val="0"/>
                      <w:sz w:val="26"/>
                      <w:szCs w:val="26"/>
                      <w:rtl/>
                    </w:rPr>
                    <w:t>פלוני</w:t>
                  </w:r>
                </w:p>
                <w:p w:rsidR="00653672" w:rsidRDefault="00653672">
                  <w:pPr>
                    <w:suppressLineNumbers/>
                    <w:jc w:val="left"/>
                    <w:rPr>
                      <w:b/>
                      <w:bCs/>
                      <w:noProof w:val="0"/>
                      <w:sz w:val="26"/>
                      <w:szCs w:val="26"/>
                      <w:rtl/>
                    </w:rPr>
                  </w:pPr>
                  <w:r>
                    <w:rPr>
                      <w:b/>
                      <w:bCs/>
                      <w:noProof w:val="0"/>
                      <w:sz w:val="26"/>
                      <w:szCs w:val="26"/>
                      <w:rtl/>
                    </w:rPr>
                    <w:t xml:space="preserve">באמצעות ב"כ עו"ד יבגני פרחיה </w:t>
                  </w:r>
                </w:p>
              </w:tc>
            </w:tr>
            <w:tr w:rsidR="00653672">
              <w:trPr>
                <w:jc w:val="center"/>
              </w:trPr>
              <w:tc>
                <w:tcPr>
                  <w:tcW w:w="8820" w:type="dxa"/>
                  <w:gridSpan w:val="3"/>
                </w:tcPr>
                <w:p w:rsidR="00653672" w:rsidRDefault="00653672">
                  <w:pPr>
                    <w:suppressLineNumbers/>
                    <w:rPr>
                      <w:rFonts w:ascii="Arial" w:hAnsi="Arial"/>
                      <w:b/>
                      <w:bCs/>
                      <w:noProof w:val="0"/>
                      <w:sz w:val="26"/>
                      <w:szCs w:val="26"/>
                      <w:rtl/>
                    </w:rPr>
                  </w:pPr>
                </w:p>
                <w:p w:rsidR="00653672" w:rsidRDefault="00653672">
                  <w:pPr>
                    <w:suppressLineNumbers/>
                    <w:jc w:val="center"/>
                    <w:rPr>
                      <w:rFonts w:ascii="Arial" w:hAnsi="Arial"/>
                      <w:b/>
                      <w:bCs/>
                      <w:noProof w:val="0"/>
                      <w:sz w:val="26"/>
                      <w:szCs w:val="26"/>
                    </w:rPr>
                  </w:pPr>
                </w:p>
              </w:tc>
            </w:tr>
            <w:tr w:rsidR="00653672">
              <w:trPr>
                <w:jc w:val="center"/>
              </w:trPr>
              <w:tc>
                <w:tcPr>
                  <w:tcW w:w="3249" w:type="dxa"/>
                  <w:gridSpan w:val="2"/>
                  <w:hideMark/>
                </w:tcPr>
                <w:p w:rsidR="00653672" w:rsidRDefault="00BE572B" w:rsidP="00653672">
                  <w:pPr>
                    <w:suppressLineNumbers/>
                    <w:jc w:val="left"/>
                    <w:rPr>
                      <w:rFonts w:ascii="Arial" w:hAnsi="Arial"/>
                      <w:b/>
                      <w:bCs/>
                      <w:noProof w:val="0"/>
                      <w:sz w:val="26"/>
                      <w:szCs w:val="26"/>
                      <w:rtl/>
                    </w:rPr>
                  </w:pPr>
                  <w:sdt>
                    <w:sdtPr>
                      <w:rPr>
                        <w:rtl/>
                      </w:rPr>
                      <w:alias w:val="1184"/>
                      <w:tag w:val="1184"/>
                      <w:id w:val="-340621022"/>
                      <w:text w:multiLine="1"/>
                    </w:sdtPr>
                    <w:sdtEndPr/>
                    <w:sdtContent>
                      <w:r w:rsidR="00653672">
                        <w:rPr>
                          <w:rFonts w:ascii="Arial" w:hAnsi="Arial"/>
                          <w:b/>
                          <w:bCs/>
                          <w:noProof w:val="0"/>
                          <w:sz w:val="26"/>
                          <w:szCs w:val="26"/>
                          <w:rtl/>
                        </w:rPr>
                        <w:t>המשיבים</w:t>
                      </w:r>
                    </w:sdtContent>
                  </w:sdt>
                </w:p>
              </w:tc>
              <w:tc>
                <w:tcPr>
                  <w:tcW w:w="5571" w:type="dxa"/>
                </w:tcPr>
                <w:p w:rsidR="00653672" w:rsidRDefault="00BE572B" w:rsidP="00653672">
                  <w:pPr>
                    <w:suppressLineNumbers/>
                    <w:jc w:val="left"/>
                  </w:pPr>
                  <w:sdt>
                    <w:sdtPr>
                      <w:rPr>
                        <w:rtl/>
                      </w:rPr>
                      <w:alias w:val="1571"/>
                      <w:tag w:val="1571"/>
                      <w:id w:val="1028836282"/>
                      <w:text w:multiLine="1"/>
                    </w:sdtPr>
                    <w:sdtEndPr/>
                    <w:sdtContent>
                      <w:r w:rsidR="00653672">
                        <w:rPr>
                          <w:rFonts w:ascii="Arial" w:hAnsi="Arial"/>
                          <w:b/>
                          <w:bCs/>
                          <w:noProof w:val="0"/>
                          <w:sz w:val="26"/>
                          <w:szCs w:val="26"/>
                          <w:rtl/>
                        </w:rPr>
                        <w:t>1</w:t>
                      </w:r>
                    </w:sdtContent>
                  </w:sdt>
                  <w:r w:rsidR="00653672">
                    <w:rPr>
                      <w:rFonts w:ascii="Arial" w:hAnsi="Arial"/>
                      <w:b/>
                      <w:bCs/>
                      <w:noProof w:val="0"/>
                      <w:sz w:val="26"/>
                      <w:szCs w:val="26"/>
                      <w:rtl/>
                    </w:rPr>
                    <w:t xml:space="preserve">. </w:t>
                  </w:r>
                  <w:r w:rsidR="00653672">
                    <w:rPr>
                      <w:rFonts w:ascii="Arial" w:hAnsi="Arial" w:hint="cs"/>
                      <w:b/>
                      <w:bCs/>
                      <w:noProof w:val="0"/>
                      <w:sz w:val="26"/>
                      <w:szCs w:val="26"/>
                      <w:rtl/>
                    </w:rPr>
                    <w:t xml:space="preserve">אלמונית (חברה) </w:t>
                  </w:r>
                </w:p>
                <w:p w:rsidR="00653672" w:rsidRDefault="00BE572B" w:rsidP="00653672">
                  <w:pPr>
                    <w:suppressLineNumbers/>
                    <w:jc w:val="left"/>
                    <w:rPr>
                      <w:rFonts w:ascii="Arial" w:hAnsi="Arial"/>
                      <w:b/>
                      <w:bCs/>
                      <w:noProof w:val="0"/>
                      <w:sz w:val="26"/>
                      <w:szCs w:val="26"/>
                    </w:rPr>
                  </w:pPr>
                  <w:sdt>
                    <w:sdtPr>
                      <w:rPr>
                        <w:rtl/>
                      </w:rPr>
                      <w:alias w:val="1571"/>
                      <w:tag w:val="1571"/>
                      <w:id w:val="-1074887182"/>
                      <w:text w:multiLine="1"/>
                    </w:sdtPr>
                    <w:sdtEndPr/>
                    <w:sdtContent>
                      <w:r w:rsidR="00653672">
                        <w:rPr>
                          <w:rFonts w:ascii="Arial" w:hAnsi="Arial"/>
                          <w:b/>
                          <w:bCs/>
                          <w:noProof w:val="0"/>
                          <w:sz w:val="26"/>
                          <w:szCs w:val="26"/>
                          <w:rtl/>
                        </w:rPr>
                        <w:t>2</w:t>
                      </w:r>
                    </w:sdtContent>
                  </w:sdt>
                  <w:r w:rsidR="00653672">
                    <w:rPr>
                      <w:rFonts w:ascii="Arial" w:hAnsi="Arial"/>
                      <w:b/>
                      <w:bCs/>
                      <w:noProof w:val="0"/>
                      <w:sz w:val="26"/>
                      <w:szCs w:val="26"/>
                      <w:rtl/>
                    </w:rPr>
                    <w:t xml:space="preserve">. </w:t>
                  </w:r>
                  <w:r w:rsidR="00653672">
                    <w:rPr>
                      <w:rFonts w:ascii="Arial" w:hAnsi="Arial" w:hint="cs"/>
                      <w:b/>
                      <w:bCs/>
                      <w:noProof w:val="0"/>
                      <w:sz w:val="26"/>
                      <w:szCs w:val="26"/>
                      <w:rtl/>
                    </w:rPr>
                    <w:t>אלמונית (חברה)</w:t>
                  </w:r>
                </w:p>
                <w:p w:rsidR="00653672" w:rsidRDefault="00653672">
                  <w:pPr>
                    <w:suppressLineNumbers/>
                    <w:rPr>
                      <w:b/>
                      <w:bCs/>
                      <w:sz w:val="26"/>
                      <w:szCs w:val="26"/>
                      <w:rtl/>
                    </w:rPr>
                  </w:pPr>
                </w:p>
                <w:p w:rsidR="00653672" w:rsidRDefault="00653672">
                  <w:pPr>
                    <w:suppressLineNumbers/>
                    <w:jc w:val="left"/>
                    <w:rPr>
                      <w:b/>
                      <w:bCs/>
                      <w:sz w:val="26"/>
                      <w:szCs w:val="26"/>
                      <w:rtl/>
                    </w:rPr>
                  </w:pPr>
                  <w:r>
                    <w:rPr>
                      <w:b/>
                      <w:bCs/>
                      <w:sz w:val="26"/>
                      <w:szCs w:val="26"/>
                      <w:rtl/>
                    </w:rPr>
                    <w:t xml:space="preserve">באמצעות ב"כ עו"ד דני אליגון </w:t>
                  </w:r>
                </w:p>
                <w:p w:rsidR="00653672" w:rsidRDefault="00653672">
                  <w:pPr>
                    <w:suppressLineNumbers/>
                    <w:rPr>
                      <w:b/>
                      <w:bCs/>
                      <w:sz w:val="26"/>
                      <w:szCs w:val="26"/>
                      <w:rtl/>
                    </w:rPr>
                  </w:pPr>
                </w:p>
                <w:p w:rsidR="00653672" w:rsidRDefault="00BE572B" w:rsidP="00653672">
                  <w:pPr>
                    <w:suppressLineNumbers/>
                    <w:jc w:val="left"/>
                    <w:rPr>
                      <w:rFonts w:ascii="Arial" w:hAnsi="Arial"/>
                      <w:b/>
                      <w:bCs/>
                      <w:noProof w:val="0"/>
                      <w:sz w:val="26"/>
                      <w:szCs w:val="26"/>
                      <w:rtl/>
                    </w:rPr>
                  </w:pPr>
                  <w:sdt>
                    <w:sdtPr>
                      <w:rPr>
                        <w:rtl/>
                      </w:rPr>
                      <w:alias w:val="1571"/>
                      <w:tag w:val="1571"/>
                      <w:id w:val="899564767"/>
                      <w:text w:multiLine="1"/>
                    </w:sdtPr>
                    <w:sdtEndPr/>
                    <w:sdtContent>
                      <w:r w:rsidR="00653672">
                        <w:rPr>
                          <w:rFonts w:ascii="Arial" w:hAnsi="Arial"/>
                          <w:b/>
                          <w:bCs/>
                          <w:noProof w:val="0"/>
                          <w:sz w:val="26"/>
                          <w:szCs w:val="26"/>
                          <w:rtl/>
                        </w:rPr>
                        <w:t>3</w:t>
                      </w:r>
                    </w:sdtContent>
                  </w:sdt>
                  <w:r w:rsidR="00653672">
                    <w:rPr>
                      <w:rFonts w:ascii="Arial" w:hAnsi="Arial"/>
                      <w:b/>
                      <w:bCs/>
                      <w:noProof w:val="0"/>
                      <w:sz w:val="26"/>
                      <w:szCs w:val="26"/>
                      <w:rtl/>
                    </w:rPr>
                    <w:t xml:space="preserve">. </w:t>
                  </w:r>
                  <w:r w:rsidR="00653672">
                    <w:rPr>
                      <w:rFonts w:ascii="Arial" w:hAnsi="Arial" w:hint="cs"/>
                      <w:b/>
                      <w:bCs/>
                      <w:noProof w:val="0"/>
                      <w:sz w:val="26"/>
                      <w:szCs w:val="26"/>
                      <w:rtl/>
                    </w:rPr>
                    <w:t>אלמוני</w:t>
                  </w:r>
                </w:p>
                <w:p w:rsidR="00653672" w:rsidRDefault="00653672">
                  <w:pPr>
                    <w:suppressLineNumbers/>
                    <w:jc w:val="left"/>
                    <w:rPr>
                      <w:b/>
                      <w:bCs/>
                      <w:sz w:val="26"/>
                      <w:szCs w:val="26"/>
                      <w:rtl/>
                    </w:rPr>
                  </w:pPr>
                  <w:r>
                    <w:rPr>
                      <w:b/>
                      <w:bCs/>
                      <w:sz w:val="26"/>
                      <w:szCs w:val="26"/>
                      <w:rtl/>
                    </w:rPr>
                    <w:t>באמצעות ב"כ עו"ד אלי חביב</w:t>
                  </w:r>
                </w:p>
              </w:tc>
            </w:tr>
            <w:tr w:rsidR="00653672">
              <w:trPr>
                <w:jc w:val="center"/>
              </w:trPr>
              <w:tc>
                <w:tcPr>
                  <w:tcW w:w="8820" w:type="dxa"/>
                  <w:gridSpan w:val="3"/>
                </w:tcPr>
                <w:p w:rsidR="00653672" w:rsidRDefault="00653672">
                  <w:pPr>
                    <w:suppressLineNumbers/>
                    <w:rPr>
                      <w:rtl/>
                    </w:rPr>
                  </w:pPr>
                </w:p>
              </w:tc>
            </w:tr>
            <w:tr w:rsidR="00653672">
              <w:trPr>
                <w:jc w:val="center"/>
              </w:trPr>
              <w:tc>
                <w:tcPr>
                  <w:tcW w:w="3249" w:type="dxa"/>
                  <w:gridSpan w:val="2"/>
                </w:tcPr>
                <w:p w:rsidR="00653672" w:rsidRDefault="00653672">
                  <w:pPr>
                    <w:rPr>
                      <w:rFonts w:ascii="Arial" w:hAnsi="Arial"/>
                      <w:b/>
                      <w:bCs/>
                      <w:noProof w:val="0"/>
                      <w:sz w:val="26"/>
                      <w:szCs w:val="26"/>
                      <w:rtl/>
                    </w:rPr>
                  </w:pPr>
                </w:p>
              </w:tc>
              <w:tc>
                <w:tcPr>
                  <w:tcW w:w="5571" w:type="dxa"/>
                </w:tcPr>
                <w:p w:rsidR="00653672" w:rsidRDefault="00653672">
                  <w:pPr>
                    <w:rPr>
                      <w:rFonts w:ascii="Arial" w:hAnsi="Arial"/>
                      <w:b/>
                      <w:bCs/>
                      <w:noProof w:val="0"/>
                      <w:sz w:val="26"/>
                      <w:szCs w:val="26"/>
                      <w:rtl/>
                    </w:rPr>
                  </w:pPr>
                </w:p>
              </w:tc>
            </w:tr>
            <w:tr w:rsidR="00653672">
              <w:trPr>
                <w:jc w:val="center"/>
              </w:trPr>
              <w:tc>
                <w:tcPr>
                  <w:tcW w:w="8820" w:type="dxa"/>
                  <w:gridSpan w:val="3"/>
                </w:tcPr>
                <w:p w:rsidR="00653672" w:rsidRDefault="00653672">
                  <w:pPr>
                    <w:suppressLineNumbers/>
                    <w:rPr>
                      <w:rFonts w:ascii="Arial" w:hAnsi="Arial"/>
                      <w:b/>
                      <w:bCs/>
                      <w:noProof w:val="0"/>
                      <w:sz w:val="26"/>
                      <w:szCs w:val="26"/>
                    </w:rPr>
                  </w:pPr>
                </w:p>
              </w:tc>
            </w:tr>
          </w:tbl>
          <w:p w:rsidR="00653672" w:rsidRDefault="00653672">
            <w:pPr>
              <w:suppressLineNumbers/>
            </w:pPr>
          </w:p>
          <w:tbl>
            <w:tblPr>
              <w:tblStyle w:val="a4"/>
              <w:bidiVisual/>
              <w:tblW w:w="903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653672">
              <w:trPr>
                <w:jc w:val="center"/>
              </w:trPr>
              <w:tc>
                <w:tcPr>
                  <w:tcW w:w="9036" w:type="dxa"/>
                </w:tcPr>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53672">
                    <w:trPr>
                      <w:jc w:val="center"/>
                    </w:trPr>
                    <w:tc>
                      <w:tcPr>
                        <w:tcW w:w="8820" w:type="dxa"/>
                      </w:tcPr>
                      <w:p w:rsidR="00653672" w:rsidRDefault="00653672">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653672" w:rsidRDefault="00653672">
                        <w:pPr>
                          <w:bidi w:val="0"/>
                          <w:jc w:val="center"/>
                          <w:rPr>
                            <w:rFonts w:ascii="Arial" w:hAnsi="Arial"/>
                            <w:b/>
                            <w:bCs/>
                            <w:noProof w:val="0"/>
                            <w:sz w:val="28"/>
                            <w:szCs w:val="28"/>
                            <w:u w:val="single"/>
                            <w:rtl/>
                          </w:rPr>
                        </w:pPr>
                      </w:p>
                      <w:p w:rsidR="00653672" w:rsidRDefault="00653672">
                        <w:pPr>
                          <w:pStyle w:val="a3"/>
                          <w:suppressLineNumbers/>
                          <w:spacing w:line="360" w:lineRule="auto"/>
                          <w:ind w:left="0"/>
                          <w:jc w:val="both"/>
                          <w:rPr>
                            <w:b/>
                            <w:bCs/>
                            <w:rtl/>
                          </w:rPr>
                        </w:pPr>
                        <w:r>
                          <w:rPr>
                            <w:b/>
                            <w:bCs/>
                            <w:rtl/>
                          </w:rPr>
                          <w:t xml:space="preserve">האם בדין הורה בית המשפט לענייני משפחה על מחיקת המשיבות 1 ו-2 מן ההליך בו נקט המבקש ועל סילוק התביעה שהגיש נגדן  – זוהי השאלה שבלב ההחלטה שלפנינו. </w:t>
                        </w:r>
                      </w:p>
                      <w:p w:rsidR="00653672" w:rsidRDefault="00653672">
                        <w:pPr>
                          <w:suppressLineNumbers/>
                          <w:spacing w:line="360" w:lineRule="auto"/>
                          <w:jc w:val="both"/>
                          <w:rPr>
                            <w:b/>
                            <w:bCs/>
                          </w:rPr>
                        </w:pPr>
                      </w:p>
                      <w:p w:rsidR="00653672" w:rsidRDefault="00653672">
                        <w:pPr>
                          <w:suppressLineNumbers/>
                          <w:spacing w:line="360" w:lineRule="auto"/>
                          <w:jc w:val="both"/>
                          <w:rPr>
                            <w:b/>
                            <w:bCs/>
                            <w:sz w:val="26"/>
                            <w:szCs w:val="26"/>
                            <w:u w:val="single"/>
                            <w:rtl/>
                          </w:rPr>
                        </w:pPr>
                        <w:r>
                          <w:rPr>
                            <w:b/>
                            <w:bCs/>
                            <w:sz w:val="26"/>
                            <w:szCs w:val="26"/>
                            <w:u w:val="single"/>
                            <w:rtl/>
                          </w:rPr>
                          <w:t>רקע כללי והשתלשלות העניינים בהליך קמא</w:t>
                        </w:r>
                      </w:p>
                      <w:p w:rsidR="00653672" w:rsidRDefault="00653672">
                        <w:pPr>
                          <w:bidi w:val="0"/>
                          <w:rPr>
                            <w:rFonts w:ascii="Arial" w:hAnsi="Arial"/>
                            <w:noProof w:val="0"/>
                            <w:sz w:val="28"/>
                            <w:szCs w:val="28"/>
                            <w:rtl/>
                          </w:rPr>
                        </w:pPr>
                      </w:p>
                    </w:tc>
                  </w:tr>
                </w:tbl>
                <w:p w:rsidR="00653672" w:rsidRDefault="00653672">
                  <w:pPr>
                    <w:pStyle w:val="a3"/>
                    <w:spacing w:line="360" w:lineRule="auto"/>
                    <w:ind w:left="278"/>
                    <w:jc w:val="both"/>
                    <w:rPr>
                      <w:rFonts w:ascii="Arial" w:hAnsi="Arial"/>
                      <w:noProof w:val="0"/>
                      <w:rtl/>
                    </w:rPr>
                  </w:pPr>
                  <w:r>
                    <w:rPr>
                      <w:rFonts w:ascii="Arial" w:hAnsi="Arial"/>
                      <w:noProof w:val="0"/>
                      <w:rtl/>
                    </w:rPr>
                    <w:t xml:space="preserve">בקשת רשות הערעור שלפניי מכוונת כלפי החלטת בית המשפט לענייני משפחה בבאר שבע (כב' השופט שי שמואל) מיום 29.05.2024 (שניתנה </w:t>
                  </w:r>
                  <w:proofErr w:type="spellStart"/>
                  <w:r>
                    <w:rPr>
                      <w:rFonts w:ascii="Arial" w:hAnsi="Arial"/>
                      <w:noProof w:val="0"/>
                      <w:rtl/>
                    </w:rPr>
                    <w:t>בתמ"ש</w:t>
                  </w:r>
                  <w:proofErr w:type="spellEnd"/>
                  <w:r>
                    <w:rPr>
                      <w:rFonts w:ascii="Arial" w:hAnsi="Arial"/>
                      <w:noProof w:val="0"/>
                      <w:rtl/>
                    </w:rPr>
                    <w:t xml:space="preserve"> 19334-03-24) בגדרה נקבע, כאמור, כי יש לסלק התביעה שהגיש המבקש כנגד המשיבות 1 ו-2 כנתבעות נוספות לצד המשיב 3 ועל גריעתן מן ההליך קמא,  תוך שנקבע, כי לכתחילה לא היה מקום לצרפן כצדדים להליך האמור. </w:t>
                  </w:r>
                </w:p>
                <w:p w:rsidR="00653672" w:rsidRDefault="00653672">
                  <w:pPr>
                    <w:pStyle w:val="a3"/>
                    <w:spacing w:line="360" w:lineRule="auto"/>
                    <w:ind w:left="278"/>
                    <w:jc w:val="both"/>
                    <w:rPr>
                      <w:rFonts w:ascii="Arial" w:hAnsi="Arial"/>
                      <w:noProof w:val="0"/>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בפתח הדברים יוער, כי ההליך דנא נפתח ע"י המבקש כערעור בזכות וביום 08.12.2024 נקבע, כי מעצם טיבה של ההחלטה מושא ההליך </w:t>
                  </w:r>
                  <w:proofErr w:type="spellStart"/>
                  <w:r>
                    <w:rPr>
                      <w:rFonts w:ascii="Arial" w:hAnsi="Arial"/>
                      <w:noProof w:val="0"/>
                      <w:rtl/>
                    </w:rPr>
                    <w:t>הערעורי</w:t>
                  </w:r>
                  <w:proofErr w:type="spellEnd"/>
                  <w:r>
                    <w:rPr>
                      <w:rFonts w:ascii="Arial" w:hAnsi="Arial"/>
                      <w:noProof w:val="0"/>
                      <w:rtl/>
                    </w:rPr>
                    <w:t xml:space="preserve"> שלפנינו, יש לשנות סיווג ההליך לערעור ברשות על כל המשתמע מכך, ולכן ההכרעה בו הועברה למותב דנא.</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lastRenderedPageBreak/>
                    <w:t xml:space="preserve">מן המונח לפניי עולה, כי המבקש והמשיב 3 הם אחים ושותפים במספר חברות ופעילויות עסקיות וכי  השותפות ביניהם נשענה על מערכת היחסים הטובה ועל האמון ששררו ביניהם עד לפני שנים מספר.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היחסים בין המבקש והמשיב 3 התערערו והסכסוך העסקי-כלכלי שפרץ ביניהם והלך והסתעף מצא דרכו לבית המשפט, ובשנים האחרונות הם מנהלים הליכים מספר בבית המשפט לענייני משפחה, הנסבים בעיקר סביב שאלת בעלותם בחברות ובנכסים שונים וסביב שיעור חלקם בפעילויות העסקיות השונות. </w:t>
                  </w:r>
                </w:p>
                <w:p w:rsidR="00653672" w:rsidRDefault="00653672">
                  <w:pPr>
                    <w:pStyle w:val="a3"/>
                    <w:jc w:val="both"/>
                    <w:rPr>
                      <w:rFonts w:ascii="Arial" w:hAnsi="Arial"/>
                      <w:noProof w:val="0"/>
                      <w:rtl/>
                    </w:rPr>
                  </w:pPr>
                </w:p>
                <w:p w:rsidR="00653672" w:rsidRDefault="00653672" w:rsidP="00653672">
                  <w:pPr>
                    <w:pStyle w:val="a3"/>
                    <w:spacing w:line="360" w:lineRule="auto"/>
                    <w:ind w:left="278"/>
                    <w:jc w:val="both"/>
                    <w:rPr>
                      <w:rFonts w:ascii="Arial" w:hAnsi="Arial"/>
                      <w:noProof w:val="0"/>
                      <w:rtl/>
                    </w:rPr>
                  </w:pPr>
                  <w:r>
                    <w:rPr>
                      <w:rFonts w:ascii="Arial" w:hAnsi="Arial"/>
                      <w:noProof w:val="0"/>
                      <w:rtl/>
                    </w:rPr>
                    <w:t xml:space="preserve">המשיבה 1 - חברה פרטית, אשר מלוא הון מניותיה מוחזק בידי המשיבה 2 והיא הבעלים של זכויות החכירה במגרש ששטחו 8,765 מ"ר, השוכן </w:t>
                  </w:r>
                  <w:r>
                    <w:rPr>
                      <w:rFonts w:ascii="Arial" w:hAnsi="Arial" w:hint="cs"/>
                      <w:noProof w:val="0"/>
                      <w:rtl/>
                    </w:rPr>
                    <w:t>ב....</w:t>
                  </w:r>
                  <w:r>
                    <w:rPr>
                      <w:rFonts w:ascii="Arial" w:hAnsi="Arial"/>
                      <w:noProof w:val="0"/>
                      <w:rtl/>
                    </w:rPr>
                    <w:t xml:space="preserve"> (להלן: </w:t>
                  </w:r>
                  <w:r>
                    <w:rPr>
                      <w:rFonts w:ascii="Arial" w:hAnsi="Arial"/>
                      <w:b/>
                      <w:bCs/>
                      <w:noProof w:val="0"/>
                      <w:rtl/>
                    </w:rPr>
                    <w:t>"המגרש"</w:t>
                  </w:r>
                  <w:r>
                    <w:rPr>
                      <w:rFonts w:ascii="Arial" w:hAnsi="Arial"/>
                      <w:noProof w:val="0"/>
                      <w:rtl/>
                    </w:rPr>
                    <w:t xml:space="preserve">). המשיבה 2 - חברה פרטית, אשר מחצית מהון מניותיה מוחזק בידי המשיב 3 ואילו המחצית הנותרת בידי אחר, שאינו צד להליך קמא ו/או להליך דנא. </w:t>
                  </w:r>
                </w:p>
                <w:p w:rsidR="00653672" w:rsidRDefault="00653672">
                  <w:pPr>
                    <w:pStyle w:val="a3"/>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על רקע הסכסוך ביניהם, הגיש המבקש בחודש מרץ השנה תביעה כנגד המשיבות 1 ו-2 (אשר למען הנוחות ייקראו להלן יחד: </w:t>
                  </w:r>
                  <w:r>
                    <w:rPr>
                      <w:rFonts w:ascii="Arial" w:hAnsi="Arial"/>
                      <w:b/>
                      <w:bCs/>
                      <w:noProof w:val="0"/>
                      <w:rtl/>
                    </w:rPr>
                    <w:t>"המשיבות"</w:t>
                  </w:r>
                  <w:r>
                    <w:rPr>
                      <w:rFonts w:ascii="Arial" w:hAnsi="Arial"/>
                      <w:noProof w:val="0"/>
                      <w:rtl/>
                    </w:rPr>
                    <w:t>) וכנגד המשיב 3 במסגרתה עתר לסעד הצהרתי, לפיו הוא בעליהן של 25% מהון המניות המונפק והנפרע של המשיבה 1 החל משנת 2011 ומאז גם רשאי להירשם ככזה, וכי המשיב 3 שימש כנאמן עבורו ועבור חלקו במניות המשיבה 1.</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המבקש עתר לסעד הצהרתי חלופי לפיו הוא בעליהן של 25% מזכויות המשיבה 1 במגרש, לרבות מלוא ההכנסות שהופקו ממנו משנת 2011 ואילך, וכי המשיב 3 ו/או המשיבה 1 משמשים מאז כנאמנים עבורו ועבור זכויותיו במגרש.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ולחלופי </w:t>
                  </w:r>
                  <w:proofErr w:type="spellStart"/>
                  <w:r>
                    <w:rPr>
                      <w:rFonts w:ascii="Arial" w:hAnsi="Arial"/>
                      <w:noProof w:val="0"/>
                      <w:rtl/>
                    </w:rPr>
                    <w:t>חלופין</w:t>
                  </w:r>
                  <w:proofErr w:type="spellEnd"/>
                  <w:r>
                    <w:rPr>
                      <w:rFonts w:ascii="Arial" w:hAnsi="Arial"/>
                      <w:noProof w:val="0"/>
                      <w:rtl/>
                    </w:rPr>
                    <w:t xml:space="preserve"> עתר המבקש לסעד כספי של השבת הסכומים ששולמו על ידו, כטענתו, לצורך מימון רכישת הזכויות במגרש בשנת 2011, שגובהם בתוספת ריבית והצמדה מן המועד בו שולמו על ידו ועד מועד הגשת התביעה עומד, לשיטתו, על 900,000 ₪.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כן עתר המבקש לסעד של מתן חשבונות הנוגעים למשיבה 1.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בקליפת אגוז יצוין, כי התובענה קמא נשענת על טענת המבקש לפיה על רקע הקרבה והאמון בינו ובין המשיב 3, שהוא אחיו הגדול, ובעטיין של נסיבות אישיות של המבקש, ניצב המשיב 3 בחזית הפעילות העסקית המשותפת של השניים ובחלק מן המקרים אף נרשם כבעל הזכויות הגם שכטענת המבקש, היה לו חלק בהן בהיות האחים שותפים. בשנת 2011 פנה המשיב 3 אל המבקש והביא בפניו הצעה עסקית, על פיה תמורת 400,000 ₪ שישולמו ע"י המבקש וישמשו כחלק מן ההון הדרוש למימון הרכישה, תרכוש המשיבה 1 את הזכויות במגרש ובתמורה יזכה המבקש ב-25% ממניות המשיבה 1 ולכל הפחות ב-25% מן הזכויות במגרש שיירכש על ידה, כאמור. המבקש קיבל ההצעה והעביר באמצעות המחאה בנקאית סך של 400,000 ₪ מחשבון הבנק שלו לחשבונה של המשיבה 1 ובסמוך לכך העביר לידי המבקש סכום נוסף של 100,000 ₪ במזומן לצורך מימון העלויות הנלוות לעסקה, כאשר בהתאם לסיכום בין המבקש ובין המשיב 3, המשיב 3 יחזיק במניות המבקש במשיבה 1 בנאמנות.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מעיון בתיק קמא עולה, כי לאחר שהוגשו בקשות לקבלת ארכה להגשת כתבי ההגנה ניתנה ביום 09.04.2024 החלטה בגדרה הודיע בית המשפט לצדדים, כי ב"כ המשיבות מצוי ברשימת </w:t>
                  </w:r>
                  <w:proofErr w:type="spellStart"/>
                  <w:r>
                    <w:rPr>
                      <w:rFonts w:ascii="Arial" w:hAnsi="Arial"/>
                      <w:noProof w:val="0"/>
                      <w:rtl/>
                    </w:rPr>
                    <w:t>המניעויות</w:t>
                  </w:r>
                  <w:proofErr w:type="spellEnd"/>
                  <w:r>
                    <w:rPr>
                      <w:rFonts w:ascii="Arial" w:hAnsi="Arial"/>
                      <w:noProof w:val="0"/>
                      <w:rtl/>
                    </w:rPr>
                    <w:t xml:space="preserve"> שלו, ומשכך ועל רקע העובדה שתלויים ועומדים הליכים נוספים בין המבקש והמשיב 3 בפני אותו מותב, התבקש ב"כ המשיבות להבהיר עמדתו בעניין.  </w:t>
                  </w:r>
                </w:p>
                <w:p w:rsidR="00653672" w:rsidRDefault="00653672">
                  <w:pPr>
                    <w:pStyle w:val="a3"/>
                    <w:ind w:left="278"/>
                    <w:jc w:val="both"/>
                    <w:rPr>
                      <w:rFonts w:ascii="Arial" w:hAnsi="Arial"/>
                      <w:noProof w:val="0"/>
                      <w:rtl/>
                    </w:rPr>
                  </w:pPr>
                  <w:r>
                    <w:rPr>
                      <w:rFonts w:ascii="Arial" w:hAnsi="Arial"/>
                      <w:noProof w:val="0"/>
                      <w:rtl/>
                    </w:rPr>
                    <w:t xml:space="preserve">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לאחר שהוגשה עמדת ב"כ המשיבות, ניתנה החלטה במסגרתה נדרש המבקש להבהיר עמדתו לעניין ייצוגו של ב"כ המשיבות בהליך קמא, ובנוסף להבהיר פשר צירופן של  המשיבות להליך משטענותיו מופנות כלפי המשיב 3 ונובעות מהסכסוך בינו ובין המבקש.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המבקש פעל כנדרש ובתגובתו טען, כי נוכח העובדה שהכספים הועברו על ידו ישירות לחשבון הבנק של המשיבה 1; כי בשים לב לטענות המשיב 3 לפיהן הוא בעל שליטה חלקית במשיבה 1 (וכפועל יוצא מכך גם במשיבה 2), ונוכח </w:t>
                  </w:r>
                  <w:proofErr w:type="spellStart"/>
                  <w:r>
                    <w:rPr>
                      <w:rFonts w:ascii="Arial" w:hAnsi="Arial"/>
                      <w:noProof w:val="0"/>
                      <w:rtl/>
                    </w:rPr>
                    <w:t>הסעדים</w:t>
                  </w:r>
                  <w:proofErr w:type="spellEnd"/>
                  <w:r>
                    <w:rPr>
                      <w:rFonts w:ascii="Arial" w:hAnsi="Arial"/>
                      <w:noProof w:val="0"/>
                      <w:rtl/>
                    </w:rPr>
                    <w:t xml:space="preserve"> הנתבעים על ידו, צורפו המשיבות להליך כנתבעות.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בתגובת המשיב 3 בעניין זה נטען, בין השאר, כי מדובר בתביעה מופרכת מיסודה ככל שהיא מכוונת כנגדו, אשר הנטען בה עומד בסתירה חזיתית להצהרות המבקש בהליך קודם שנוהל בבית המשפט לענייני משפחה, ועל אחת כמה וכמה היא מופרכת ביחס למשיבות, שהן ישויות משפטיות נפרדות, ומשכך יש להורות על גריעתן מן ההליך, ומכל מקום הבהיר, כי מבחינתו אין מניעה שהמותב קמא ימשיך לדון בהליך.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בד בבד עם זאת הוגש גם כתב ההגנה של המשיב 3 במסגרתו נטען, בין היתר, כי בשנת 2013 הוגש ע"י המבקש תצהיר בהליך שנוהל בינו ובין גרושתו וצדדים נוספים ובהם גם המשיב 3 ובו הצהרות העומדות בסתירה להצהרות בהליך קמא, ובתוך כך הוצהר ע"י המבקש, כי אין לו כל חלק ונחלה במשיבות ו/או בנכסי המקרקעין שבבעלות המשיב 3; וכי הסך של 400,000 ₪ הועברו על ידו למשיב 3 כהלוואה לצורך רכישת המגרש באמצעות המשיבה 1 ולא במסגרת עסקת נדל"ן כלשהי בה היה מעורב; בנוסף הוצהר על ידו, כי מדובר במגרש מסחרי שנרכש תמורת מיליוני שקלים והסכומים שהעביר למשיב 3 היוו חלק קטן מגובה התמורה. </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לאחר הגשת כתב ההגנה ועל יסוד הנטען בו, ניתנה ביום 07.05.2024 החלטה בגדרה נדרש המבקש להבהיר מדוע לא תמחקנה המשיבות מכתב התביעה.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ביום 22.05.2024 הוגשה תגובת המבקש במסגרתה הוא שב על טענותיו והוסיף, כי עילת ההלוואה שבכתב התביעה שלו מופנית כנגד כל המשיבים, ביחד ולחוד; כי סעד של סילוק על הסף הוא קיצוני שיש לנקוט בו במקרים חריגים בלבד ובמקרה דנא אין עילה לסילוק התביעה כנגד המשיבות על הסף;  כי לאור עילת הנאמנות ולשם בירור המחלוקת העובדתית, המשיבות הן צד דרוש בהליך; כי טענותיו בהליך הקודם אינן מקימות השתק שיפוטי ומכל מקום אין המדובר בטענת סף. </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לאחר שהוגשה תגובת המשיב 3, במסגרתה שב על עמדתו, ניתנה ביום 29.05.2024 ההחלטה מושא ההליך דנא. </w:t>
                  </w:r>
                </w:p>
                <w:p w:rsidR="00653672" w:rsidRDefault="00653672">
                  <w:pPr>
                    <w:pStyle w:val="a3"/>
                    <w:spacing w:line="360" w:lineRule="auto"/>
                    <w:jc w:val="both"/>
                    <w:rPr>
                      <w:rFonts w:ascii="Arial" w:hAnsi="Arial"/>
                      <w:noProof w:val="0"/>
                      <w:rtl/>
                    </w:rPr>
                  </w:pPr>
                </w:p>
                <w:p w:rsidR="00653672" w:rsidRDefault="00653672">
                  <w:pPr>
                    <w:suppressLineNumbers/>
                    <w:spacing w:line="360" w:lineRule="auto"/>
                    <w:jc w:val="both"/>
                    <w:rPr>
                      <w:b/>
                      <w:bCs/>
                      <w:sz w:val="26"/>
                      <w:szCs w:val="26"/>
                      <w:u w:val="single"/>
                      <w:rtl/>
                    </w:rPr>
                  </w:pPr>
                  <w:r>
                    <w:rPr>
                      <w:b/>
                      <w:bCs/>
                      <w:sz w:val="26"/>
                      <w:szCs w:val="26"/>
                      <w:u w:val="single"/>
                      <w:rtl/>
                    </w:rPr>
                    <w:t>עיקרי ההחלטה קמא</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בית המשפט קמא קבע, כאמור, כי יש לסלק על הסף את התביעה כנגד המשיבות, משמצא כי לא היה מקום לכתחילה לצרפן כנתבעות ומחמת השתק שיפוטי וחוסר תום לב בניהול ההליכים המשפטיים ע"י המבקש.</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b/>
                      <w:bCs/>
                      <w:noProof w:val="0"/>
                      <w:rtl/>
                    </w:rPr>
                  </w:pPr>
                  <w:r>
                    <w:rPr>
                      <w:rFonts w:ascii="Arial" w:hAnsi="Arial"/>
                      <w:noProof w:val="0"/>
                      <w:rtl/>
                    </w:rPr>
                    <w:t xml:space="preserve">וכך, בין השאר, נומקה על ידו ההחלטה: </w:t>
                  </w:r>
                  <w:r>
                    <w:rPr>
                      <w:rFonts w:ascii="Arial" w:hAnsi="Arial"/>
                      <w:b/>
                      <w:bCs/>
                      <w:noProof w:val="0"/>
                      <w:rtl/>
                    </w:rPr>
                    <w:t>"הגם שהתובע לא פעל להגשת בקשה לצירוף החברות, הנתבעות 2 ו – 3, כמתבקש בהוראות סעיף 6(ו) לחוק מצאתי לדון בעניין כאילו הוגשה הבקשה, שכן טענותיו של התובע הועלו בפני במסגרת הבהרות אותן נדרש הוא לספק לביהמ"ש בהחלטות שניתנו וכך גם תגובות שהוגשו ע"י הצדדים.</w:t>
                  </w:r>
                </w:p>
                <w:p w:rsidR="00653672" w:rsidRDefault="00653672">
                  <w:pPr>
                    <w:pStyle w:val="a3"/>
                    <w:spacing w:line="360" w:lineRule="auto"/>
                    <w:ind w:left="278"/>
                    <w:jc w:val="both"/>
                    <w:rPr>
                      <w:rFonts w:ascii="Arial" w:hAnsi="Arial"/>
                      <w:b/>
                      <w:bCs/>
                      <w:noProof w:val="0"/>
                      <w:rtl/>
                    </w:rPr>
                  </w:pPr>
                  <w:r>
                    <w:rPr>
                      <w:rFonts w:ascii="Arial" w:hAnsi="Arial"/>
                      <w:b/>
                      <w:bCs/>
                      <w:noProof w:val="0"/>
                      <w:rtl/>
                    </w:rPr>
                    <w:t>בבואו של בית המשפט להכריע בבקשה לצירוף נתבעים כנ"ל, עליו לבחון באם הצדק והתועלת שבצירוף הנתבע הנוסף הנ"ל עולים על הפגיעה בעניינו של צד ג' הנ"ל מעצם 'גרירתו' לסכסוך המשפחתי. לצורך כך יש לבחון באם לא ניתן יהא לברר את התובענה ולהכריע בה ללא נוכחותו של צד ג' אשר צירופו מתבקש כבעל דין בתביעה, וכן את מידת הפגיעה באותו צד ג' באם יוחלט לצרפו...</w:t>
                  </w:r>
                </w:p>
                <w:p w:rsidR="00653672" w:rsidRDefault="00653672">
                  <w:pPr>
                    <w:pStyle w:val="a3"/>
                    <w:spacing w:line="360" w:lineRule="auto"/>
                    <w:ind w:left="278"/>
                    <w:jc w:val="both"/>
                    <w:rPr>
                      <w:rFonts w:ascii="Arial" w:hAnsi="Arial"/>
                      <w:b/>
                      <w:bCs/>
                      <w:noProof w:val="0"/>
                      <w:rtl/>
                    </w:rPr>
                  </w:pPr>
                  <w:r>
                    <w:rPr>
                      <w:rFonts w:ascii="Arial" w:hAnsi="Arial"/>
                      <w:b/>
                      <w:bCs/>
                      <w:noProof w:val="0"/>
                      <w:rtl/>
                    </w:rPr>
                    <w:t>בפועל, צירופם של צדי ג' כנ"ל שאינם בני משפחה, לתובענות המתנהלות בבית המשפט לענייני משפחה נעשה במשורה ובצמצום...</w:t>
                  </w:r>
                </w:p>
                <w:p w:rsidR="00653672" w:rsidRDefault="00653672">
                  <w:pPr>
                    <w:pStyle w:val="a3"/>
                    <w:spacing w:line="360" w:lineRule="auto"/>
                    <w:ind w:left="278"/>
                    <w:jc w:val="both"/>
                    <w:rPr>
                      <w:rFonts w:ascii="Arial" w:hAnsi="Arial"/>
                      <w:noProof w:val="0"/>
                      <w:rtl/>
                    </w:rPr>
                  </w:pPr>
                  <w:r>
                    <w:rPr>
                      <w:rFonts w:ascii="Arial" w:hAnsi="Arial"/>
                      <w:b/>
                      <w:bCs/>
                      <w:noProof w:val="0"/>
                      <w:rtl/>
                    </w:rPr>
                    <w:t>לא שוכנעתי כי במקרה הנדון לא ניתן יהא לברר את התובענה שבכותרת ולהכריע בה ללא צירופן של שתי החברות, וזאת בשים לב לטענות התובע שהועלו בכתב התביעה המופנות לנתבע 1, הן בעניין העברת הכספים והן בעניין טענת הנאמנות... לטעמי צירוף החברות צפוי דווקא לסרבל את בירור התביעה ולא לייעלה, כפי שדורשת הפסיקה בעניין סעיף 6(ו) לחוק כתנאי לצירוף בעל דין שאינו בן משפחה להליך בבית המשפט למשפחה...</w:t>
                  </w:r>
                </w:p>
                <w:p w:rsidR="00653672" w:rsidRDefault="00653672">
                  <w:pPr>
                    <w:pStyle w:val="a3"/>
                    <w:spacing w:line="360" w:lineRule="auto"/>
                    <w:ind w:left="278"/>
                    <w:jc w:val="both"/>
                    <w:rPr>
                      <w:rFonts w:ascii="Arial" w:hAnsi="Arial"/>
                      <w:noProof w:val="0"/>
                      <w:rtl/>
                    </w:rPr>
                  </w:pPr>
                  <w:r>
                    <w:rPr>
                      <w:rFonts w:ascii="Arial" w:hAnsi="Arial"/>
                      <w:b/>
                      <w:bCs/>
                      <w:noProof w:val="0"/>
                      <w:rtl/>
                    </w:rPr>
                    <w:t xml:space="preserve">אני סבור, כי ככל וטענות התובע יתבררו כנכונות וביהמ"ש ייעתר </w:t>
                  </w:r>
                  <w:proofErr w:type="spellStart"/>
                  <w:r>
                    <w:rPr>
                      <w:rFonts w:ascii="Arial" w:hAnsi="Arial"/>
                      <w:b/>
                      <w:bCs/>
                      <w:noProof w:val="0"/>
                      <w:rtl/>
                    </w:rPr>
                    <w:t>לסעדים</w:t>
                  </w:r>
                  <w:proofErr w:type="spellEnd"/>
                  <w:r>
                    <w:rPr>
                      <w:rFonts w:ascii="Arial" w:hAnsi="Arial"/>
                      <w:b/>
                      <w:bCs/>
                      <w:noProof w:val="0"/>
                      <w:rtl/>
                    </w:rPr>
                    <w:t xml:space="preserve"> להם עתר בכתב התביעה, הרי שאת אלו יכול הוא לקבל מהנתבע 1 עצמו ובמסגרת היותו בעלים של 50% ממניות הנתבעת 3 שהיא כאמור המחזיקה בהון המניות של הנתבעת 2"</w:t>
                  </w:r>
                  <w:r>
                    <w:rPr>
                      <w:rFonts w:ascii="Arial" w:hAnsi="Arial"/>
                      <w:noProof w:val="0"/>
                      <w:rtl/>
                    </w:rPr>
                    <w:t xml:space="preserve">. </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לעניין </w:t>
                  </w:r>
                  <w:proofErr w:type="spellStart"/>
                  <w:r>
                    <w:rPr>
                      <w:rFonts w:ascii="Arial" w:hAnsi="Arial"/>
                      <w:noProof w:val="0"/>
                      <w:rtl/>
                    </w:rPr>
                    <w:t>ההשתק</w:t>
                  </w:r>
                  <w:proofErr w:type="spellEnd"/>
                  <w:r>
                    <w:rPr>
                      <w:rFonts w:ascii="Arial" w:hAnsi="Arial"/>
                      <w:noProof w:val="0"/>
                      <w:rtl/>
                    </w:rPr>
                    <w:t xml:space="preserve"> השיפוטי נקבע, כי על רקע דוקטרינה זו, המבוססת על עקרונות ההגינות בהליך השיפוטי ועל חובת תום הלב ויוצרת מחסום בפני בעלי הדין מהעלאת טענות סותרות בהליכים שונים, המסקנה המתקבלת היא, שהמבקש פעל בחוסר תום לב של ממש עת נטענו על ידו במובהק טענות סותרות בשני הליכים שונים, מבלי שנתן לכך הסבר המניח את הדעת ובמטרה לפגוע בחוסנם הכלכלי של המשיבים.</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עוד נקבע, כי התנהלות המבקש עולה כדי שימוש לרעה בהליכי המשפט, ויש לייחס לה חומרה יתרה משעניין לנו בתובענה לסעד הצהרתי שמקורו בדיני היושר. </w:t>
                  </w:r>
                </w:p>
                <w:p w:rsidR="00653672" w:rsidRDefault="00653672">
                  <w:pPr>
                    <w:pStyle w:val="a3"/>
                    <w:ind w:left="561" w:hanging="141"/>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המבקש לא השלים עם ההחלטה והגיש ערעור עליה, אם כי, כאמור לעיל, סיווג ההליך שונה ונקבע, כי הערעור על ההחלטה הוא ברשות ולא בזכות.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בהתאם להחלטה שניתנה בראשית ההליך הוגשו תשובות המשיבים ולאחריהן גם תגובת המבקש, ומכאן ההחלטה שלפנינו. </w:t>
                  </w:r>
                </w:p>
                <w:p w:rsidR="00653672" w:rsidRDefault="00653672">
                  <w:pPr>
                    <w:spacing w:line="360" w:lineRule="auto"/>
                    <w:rPr>
                      <w:rFonts w:ascii="Arial" w:hAnsi="Arial"/>
                      <w:noProof w:val="0"/>
                      <w:rtl/>
                    </w:rPr>
                  </w:pPr>
                </w:p>
                <w:p w:rsidR="00653672" w:rsidRDefault="00653672">
                  <w:pPr>
                    <w:suppressLineNumbers/>
                    <w:spacing w:line="360" w:lineRule="auto"/>
                    <w:jc w:val="both"/>
                    <w:rPr>
                      <w:b/>
                      <w:bCs/>
                      <w:sz w:val="26"/>
                      <w:szCs w:val="26"/>
                      <w:u w:val="single"/>
                      <w:rtl/>
                    </w:rPr>
                  </w:pPr>
                  <w:r>
                    <w:rPr>
                      <w:b/>
                      <w:bCs/>
                      <w:sz w:val="26"/>
                      <w:szCs w:val="26"/>
                      <w:u w:val="single"/>
                      <w:rtl/>
                    </w:rPr>
                    <w:t>תמצית טענות הצדדים בהליך דנא</w:t>
                  </w:r>
                </w:p>
                <w:p w:rsidR="00653672" w:rsidRDefault="00653672">
                  <w:pPr>
                    <w:pStyle w:val="a3"/>
                    <w:rPr>
                      <w:rFonts w:ascii="Arial" w:hAnsi="Arial"/>
                      <w:noProof w:val="0"/>
                    </w:rPr>
                  </w:pPr>
                </w:p>
                <w:p w:rsidR="00653672" w:rsidRDefault="00653672">
                  <w:pPr>
                    <w:pStyle w:val="a3"/>
                    <w:spacing w:line="360" w:lineRule="auto"/>
                    <w:ind w:left="278"/>
                    <w:jc w:val="both"/>
                    <w:rPr>
                      <w:rFonts w:ascii="Arial" w:hAnsi="Arial"/>
                      <w:noProof w:val="0"/>
                      <w:rtl/>
                    </w:rPr>
                  </w:pPr>
                  <w:r>
                    <w:rPr>
                      <w:rFonts w:ascii="Arial" w:hAnsi="Arial"/>
                      <w:b/>
                      <w:bCs/>
                      <w:noProof w:val="0"/>
                      <w:u w:val="single"/>
                      <w:rtl/>
                    </w:rPr>
                    <w:t>לטענת המבקש</w:t>
                  </w:r>
                  <w:r>
                    <w:rPr>
                      <w:rFonts w:ascii="Arial" w:hAnsi="Arial"/>
                      <w:noProof w:val="0"/>
                      <w:rtl/>
                    </w:rPr>
                    <w:t xml:space="preserve">, שגה בית המשפט קמא עת הכריע בשאלת גריעתן של המשיבות מן ההליך בטרם  הכריע בשאלת המניעות של המותב קמא לדון בעניינן נוכח זהותו של בא כוחן, והיא בבחינת תנאי סף להפעלת הסמכות השיפוטית, על אחת כמה וכמה כאשר סוגיית המניעות הועלתה ע"י בית המשפט עצמו; בהתייחס להחלטה גופה טען המבקש, כי בהתאם להלכה הפסוקה אין אפשרות  </w:t>
                  </w:r>
                  <w:proofErr w:type="spellStart"/>
                  <w:r>
                    <w:rPr>
                      <w:rFonts w:ascii="Arial" w:hAnsi="Arial"/>
                      <w:noProof w:val="0"/>
                      <w:rtl/>
                    </w:rPr>
                    <w:t>ליתן</w:t>
                  </w:r>
                  <w:proofErr w:type="spellEnd"/>
                  <w:r>
                    <w:rPr>
                      <w:rFonts w:ascii="Arial" w:hAnsi="Arial"/>
                      <w:noProof w:val="0"/>
                      <w:rtl/>
                    </w:rPr>
                    <w:t xml:space="preserve"> סעד הגורע מזכויות פלוני בלא שהיה צד להליך וניתנה לו הזכות להשמיע טענותיו, ומשכך והיות </w:t>
                  </w:r>
                  <w:proofErr w:type="spellStart"/>
                  <w:r>
                    <w:rPr>
                      <w:rFonts w:ascii="Arial" w:hAnsi="Arial"/>
                      <w:noProof w:val="0"/>
                      <w:rtl/>
                    </w:rPr>
                    <w:t>שהסעדים</w:t>
                  </w:r>
                  <w:proofErr w:type="spellEnd"/>
                  <w:r>
                    <w:rPr>
                      <w:rFonts w:ascii="Arial" w:hAnsi="Arial"/>
                      <w:noProof w:val="0"/>
                      <w:rtl/>
                    </w:rPr>
                    <w:t xml:space="preserve"> הנתבעים מכוונים גם כלפי המשיבות וככל שהתביעה תתקבל עלולות להיפגע זכויותיהן, הרי שהן בבחינת צדדים דרושים בהליך; כי גם אם ייפסק שהוא זכאי להחזר ההלוואה שניתנה על ידו, יש לחייב המשיבה 1 והמשיב 3 יחד ולחוד, על מנת להגדיל סיכויי הגבייה והפירעון; כי קביעת בית המשפט קמא לעניין </w:t>
                  </w:r>
                  <w:proofErr w:type="spellStart"/>
                  <w:r>
                    <w:rPr>
                      <w:rFonts w:ascii="Arial" w:hAnsi="Arial"/>
                      <w:noProof w:val="0"/>
                      <w:rtl/>
                    </w:rPr>
                    <w:t>ההשתק</w:t>
                  </w:r>
                  <w:proofErr w:type="spellEnd"/>
                  <w:r>
                    <w:rPr>
                      <w:rFonts w:ascii="Arial" w:hAnsi="Arial"/>
                      <w:noProof w:val="0"/>
                      <w:rtl/>
                    </w:rPr>
                    <w:t xml:space="preserve"> השיפוטי שגויה, משקביעה מעין זו טעונה בירור והכרעה עובדתיים ולכן אין מקום לאמצה בשלב מקדמי של ההליך; כי נסיבות המקרה דנא אינן מבססות הכלל בדבר השתק שיפוטי, בהעדר סתירה בין טענותיו בהליך הקודם ובין ההליך קמא, שכן לדידו, במסגרת ההסכמות בינו ובין המשיב 3 ניתנה לו זכות הבחירה בין קבלת זכויות במגרש ובין קבלת תשלום כפירעון של ההלוואה, ובכל מקרה על המחלוקת העובדתית בין הצדדים להתברר טרם הכרעה בשאלת </w:t>
                  </w:r>
                  <w:proofErr w:type="spellStart"/>
                  <w:r>
                    <w:rPr>
                      <w:rFonts w:ascii="Arial" w:hAnsi="Arial"/>
                      <w:noProof w:val="0"/>
                      <w:rtl/>
                    </w:rPr>
                    <w:t>ההשתק</w:t>
                  </w:r>
                  <w:proofErr w:type="spellEnd"/>
                  <w:r>
                    <w:rPr>
                      <w:rFonts w:ascii="Arial" w:hAnsi="Arial"/>
                      <w:noProof w:val="0"/>
                      <w:rtl/>
                    </w:rPr>
                    <w:t xml:space="preserve"> השיפוטי. </w:t>
                  </w:r>
                </w:p>
                <w:p w:rsidR="00653672" w:rsidRDefault="00653672">
                  <w:pPr>
                    <w:pStyle w:val="a3"/>
                    <w:ind w:left="278"/>
                    <w:rPr>
                      <w:rFonts w:ascii="Arial" w:hAnsi="Arial"/>
                      <w:noProof w:val="0"/>
                    </w:rPr>
                  </w:pPr>
                </w:p>
                <w:p w:rsidR="00653672" w:rsidRDefault="00653672">
                  <w:pPr>
                    <w:pStyle w:val="a3"/>
                    <w:spacing w:line="360" w:lineRule="auto"/>
                    <w:ind w:left="278"/>
                    <w:jc w:val="both"/>
                    <w:rPr>
                      <w:rFonts w:ascii="Arial" w:hAnsi="Arial"/>
                      <w:noProof w:val="0"/>
                    </w:rPr>
                  </w:pPr>
                  <w:r>
                    <w:rPr>
                      <w:rFonts w:ascii="Arial" w:hAnsi="Arial"/>
                      <w:noProof w:val="0"/>
                      <w:rtl/>
                    </w:rPr>
                    <w:t xml:space="preserve">מנגד </w:t>
                  </w:r>
                  <w:r>
                    <w:rPr>
                      <w:rFonts w:ascii="Arial" w:hAnsi="Arial"/>
                      <w:b/>
                      <w:bCs/>
                      <w:noProof w:val="0"/>
                      <w:u w:val="single"/>
                      <w:rtl/>
                    </w:rPr>
                    <w:t>טענו המשיבות</w:t>
                  </w:r>
                  <w:r>
                    <w:rPr>
                      <w:rFonts w:ascii="Arial" w:hAnsi="Arial"/>
                      <w:b/>
                      <w:bCs/>
                      <w:noProof w:val="0"/>
                      <w:rtl/>
                    </w:rPr>
                    <w:t xml:space="preserve">, </w:t>
                  </w:r>
                  <w:r>
                    <w:rPr>
                      <w:rFonts w:ascii="Arial" w:hAnsi="Arial"/>
                      <w:noProof w:val="0"/>
                      <w:rtl/>
                    </w:rPr>
                    <w:t xml:space="preserve">כי דין הערעור להידחות, הן מטעמים פרוצדורליים והן לגוף העניין. בפן הפרוצדוראלי נטען, כי הערעור הוגש כערעור בזכות בעוד שעניין לנו בערעור ברשות (כפי שצוין לעיל, טענה זו התקבלה), ומשכך המועד הקבוע בדין להגשת בקשת רשות הערעור חלף ודי באיחור זה כדי להביא לדחיית הערעור על הסף; בנוסף נטען על ידן, כי עסקינן בהחלטה שבסדרי דין המצויה במרחב שיקול הדעת של הערכאה הדיונית, ולכן אין מקום להתערב בה; בפן המהותי נטען, כי המשיבות אינן בבחינת "בן משפחה" כהגדרתו בחוק בית המשפט לענייני משפחה, ולכן לא ניתן לצרפן באופן אוטומטי לתובענה אלא נדרשת בקשה נפרדת מטעם המבקש לצירופן – דבר שלא נעשה במקרה דנא; כי גם בפן המהותי צדק בית המשפט קמא משלא הורה על צירופן של המשיבות כנתבעות, מחמת העדר יריבות בינן ובין המבקש; כי בכל הנוגע לשאלת המניעות אין ממש בטענות המבקש, משלא הוגשה על ידו כל בקשה בעניין, כמתחייב, ומשלא פורטו על ידו בפני בית המשפט קמא הנסיבות שבגינן קם לכאורה חשש למשוא פנים מצד המותב קמא, ולכן דין טענותיו בעניין זה להידחות; כי צדק בית המשפט קמא בקבעו, כי קם במקרה דנא השתק שיפוטי, שעה שהמבקש טען במסגרת הליך משפטי אחר בו היה בעל דין טענות הסותרות לחלוטין את אלו הנטענות על ידו בהליך קמא בנוגע לזכויותיו במגרש ולזכויותיו במשיבה 1. </w:t>
                  </w:r>
                </w:p>
                <w:p w:rsidR="00653672" w:rsidRDefault="00653672">
                  <w:pPr>
                    <w:pStyle w:val="a3"/>
                    <w:rPr>
                      <w:rFonts w:ascii="Arial" w:hAnsi="Arial"/>
                      <w:noProof w:val="0"/>
                    </w:rPr>
                  </w:pPr>
                </w:p>
                <w:p w:rsidR="00653672" w:rsidRDefault="00653672">
                  <w:pPr>
                    <w:pStyle w:val="a3"/>
                    <w:spacing w:line="360" w:lineRule="auto"/>
                    <w:ind w:left="278"/>
                    <w:jc w:val="both"/>
                    <w:rPr>
                      <w:rFonts w:ascii="Arial" w:hAnsi="Arial"/>
                      <w:noProof w:val="0"/>
                      <w:rtl/>
                    </w:rPr>
                  </w:pPr>
                  <w:r>
                    <w:rPr>
                      <w:rFonts w:ascii="Arial" w:hAnsi="Arial"/>
                      <w:b/>
                      <w:bCs/>
                      <w:noProof w:val="0"/>
                      <w:u w:val="single"/>
                      <w:rtl/>
                    </w:rPr>
                    <w:t>המשיב 3</w:t>
                  </w:r>
                  <w:r>
                    <w:rPr>
                      <w:rFonts w:ascii="Arial" w:hAnsi="Arial"/>
                      <w:noProof w:val="0"/>
                      <w:rtl/>
                    </w:rPr>
                    <w:t xml:space="preserve"> הצטרף לעמדת המשיבות ואף הוא טען, כי בפן הפרוצדורלי דין הערעור להידחות משהוגש בזכות, הגם שעניין לנו בערעור ברשות ולכן אף הוגש בחלוף המועד הקבוע לכך בדין; בשאלת המניעות נטען על ידו, כי העובדה שפרקליט פלוני מופיע ברשימת </w:t>
                  </w:r>
                  <w:proofErr w:type="spellStart"/>
                  <w:r>
                    <w:rPr>
                      <w:rFonts w:ascii="Arial" w:hAnsi="Arial"/>
                      <w:noProof w:val="0"/>
                      <w:rtl/>
                    </w:rPr>
                    <w:t>המניעויות</w:t>
                  </w:r>
                  <w:proofErr w:type="spellEnd"/>
                  <w:r>
                    <w:rPr>
                      <w:rFonts w:ascii="Arial" w:hAnsi="Arial"/>
                      <w:noProof w:val="0"/>
                      <w:rtl/>
                    </w:rPr>
                    <w:t xml:space="preserve"> של שופט אין משמעה פסילה אוטומטית של המותב מלדון בהליך בו מייצג אותו פרקליט בעל דין, ובמקרה דנא לא פורטו ע"י המבקש הנסיבות המקימות חשש מפני משוא פנים של המותב קמא; לבית המשפט לענייני משפחה שיקול דעת בשאלת צירוף צדדים שאינם בני משפחה להליך המתנהל לפניו. במקרה דנא לא זו בלבד שהמבקש לא הגיש בקשה לצירוף המשיבות להליך ולא הניח התשתית הנדרשת לכך, הוא אף התרעם על כך שבית המשפט הורה לו להבהיר העניין (שכן לכתחילה הגיש התביעה גם כנגד המשיבות), ולמרות ההזדמנויות שניתנו לו לעשות כן, הוא לא פעל כנדרש ובחר למקד טיעוניו בשאלת הסילוק על הסף; כי בדין נקבע ע"י בית המשפט שבמקרה דנא קם השתק שיפוטי לאור טענותיו הסותרות של המבקש בהליך הקודם שנוהל בבית המשפט לענייני משפחה ובהליך קמא, והגם שנדרש להבהיר העניין, התעלם מכך המבקש; ולבסוף טען, כי המבקש לא היה שותף או מעורב בניהול פעילותן של המשיבות ו/או בענייניהן הפיננסיים.  </w:t>
                  </w:r>
                </w:p>
                <w:p w:rsidR="00653672" w:rsidRDefault="00653672">
                  <w:pPr>
                    <w:pStyle w:val="a3"/>
                    <w:spacing w:line="360" w:lineRule="auto"/>
                    <w:jc w:val="both"/>
                    <w:rPr>
                      <w:rFonts w:ascii="Arial" w:hAnsi="Arial"/>
                      <w:noProof w:val="0"/>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ביום 05.11.2024 הוגשה תגובת המבקש לתשובות המשיבים במסגרתה שב על טענותיו והתייחס אף לשאלת סיווגו הנכון של ההליך. </w:t>
                  </w:r>
                </w:p>
                <w:p w:rsidR="00653672" w:rsidRDefault="00653672">
                  <w:pPr>
                    <w:pStyle w:val="a3"/>
                    <w:rPr>
                      <w:rFonts w:ascii="Arial" w:hAnsi="Arial"/>
                      <w:noProof w:val="0"/>
                      <w:rtl/>
                    </w:rPr>
                  </w:pPr>
                </w:p>
                <w:p w:rsidR="00653672" w:rsidRDefault="00653672">
                  <w:pPr>
                    <w:suppressLineNumbers/>
                    <w:spacing w:line="360" w:lineRule="auto"/>
                    <w:jc w:val="both"/>
                    <w:rPr>
                      <w:b/>
                      <w:bCs/>
                      <w:sz w:val="26"/>
                      <w:szCs w:val="26"/>
                      <w:u w:val="single"/>
                    </w:rPr>
                  </w:pPr>
                  <w:r>
                    <w:rPr>
                      <w:b/>
                      <w:bCs/>
                      <w:sz w:val="26"/>
                      <w:szCs w:val="26"/>
                      <w:u w:val="single"/>
                      <w:rtl/>
                    </w:rPr>
                    <w:t>דיון והכרעה</w:t>
                  </w:r>
                </w:p>
                <w:p w:rsidR="00653672" w:rsidRDefault="00653672">
                  <w:pPr>
                    <w:jc w:val="both"/>
                    <w:rPr>
                      <w:rFonts w:ascii="Arial" w:hAnsi="Arial"/>
                      <w:noProof w:val="0"/>
                      <w:rtl/>
                    </w:rPr>
                  </w:pPr>
                </w:p>
                <w:p w:rsidR="00653672" w:rsidRDefault="00653672">
                  <w:pPr>
                    <w:pStyle w:val="a3"/>
                    <w:spacing w:line="360" w:lineRule="auto"/>
                    <w:ind w:left="278"/>
                    <w:jc w:val="both"/>
                    <w:rPr>
                      <w:rFonts w:ascii="Arial" w:hAnsi="Arial"/>
                      <w:b/>
                      <w:bCs/>
                      <w:noProof w:val="0"/>
                      <w:rtl/>
                    </w:rPr>
                  </w:pPr>
                  <w:r>
                    <w:rPr>
                      <w:rFonts w:ascii="Arial" w:hAnsi="Arial"/>
                      <w:b/>
                      <w:bCs/>
                      <w:noProof w:val="0"/>
                      <w:rtl/>
                    </w:rPr>
                    <w:t xml:space="preserve">לאחר עיון בטענות הצדדים ובתיקים המתנהלים בבית המשפט קמא, ועל יסוד תקנה 138(א)(5) לתקנות סדר הדין האזרחי, </w:t>
                  </w:r>
                  <w:proofErr w:type="spellStart"/>
                  <w:r>
                    <w:rPr>
                      <w:rFonts w:ascii="Arial" w:hAnsi="Arial"/>
                      <w:b/>
                      <w:bCs/>
                      <w:noProof w:val="0"/>
                      <w:rtl/>
                    </w:rPr>
                    <w:t>התשע"ח</w:t>
                  </w:r>
                  <w:proofErr w:type="spellEnd"/>
                  <w:r>
                    <w:rPr>
                      <w:rFonts w:ascii="Arial" w:hAnsi="Arial"/>
                      <w:b/>
                      <w:bCs/>
                      <w:noProof w:val="0"/>
                      <w:rtl/>
                    </w:rPr>
                    <w:t xml:space="preserve"> – 2018,</w:t>
                  </w:r>
                  <w:r>
                    <w:rPr>
                      <w:rFonts w:ascii="Arial" w:hAnsi="Arial"/>
                      <w:noProof w:val="0"/>
                      <w:rtl/>
                    </w:rPr>
                    <w:t xml:space="preserve"> </w:t>
                  </w:r>
                  <w:r>
                    <w:rPr>
                      <w:rFonts w:ascii="Arial" w:hAnsi="Arial"/>
                      <w:b/>
                      <w:bCs/>
                      <w:noProof w:val="0"/>
                      <w:rtl/>
                    </w:rPr>
                    <w:t>באתי לכלל מסקנה, כי דין הבקשה להידחות, מהנימוקים שיפורטו להלן.</w:t>
                  </w:r>
                </w:p>
                <w:p w:rsidR="00653672" w:rsidRDefault="00653672">
                  <w:pPr>
                    <w:pStyle w:val="a3"/>
                    <w:ind w:left="278"/>
                    <w:jc w:val="both"/>
                    <w:rPr>
                      <w:rFonts w:ascii="Arial" w:hAnsi="Arial"/>
                      <w:noProof w:val="0"/>
                      <w:rtl/>
                    </w:rPr>
                  </w:pPr>
                </w:p>
                <w:p w:rsidR="00653672" w:rsidRDefault="00653672">
                  <w:pPr>
                    <w:pStyle w:val="a3"/>
                    <w:spacing w:line="360" w:lineRule="auto"/>
                    <w:ind w:left="278"/>
                    <w:jc w:val="both"/>
                    <w:rPr>
                      <w:rtl/>
                    </w:rPr>
                  </w:pPr>
                  <w:r>
                    <w:rPr>
                      <w:rtl/>
                    </w:rPr>
                    <w:t xml:space="preserve">בהתאם להוראת סעיף 6(ו) לחוק בית המשפט לענייני משפחה, התשנ"ה – 1995 (להלן: </w:t>
                  </w:r>
                  <w:r>
                    <w:rPr>
                      <w:b/>
                      <w:bCs/>
                      <w:rtl/>
                    </w:rPr>
                    <w:t>"חוק בית משפט לענייני משפחה"</w:t>
                  </w:r>
                  <w:r>
                    <w:rPr>
                      <w:rtl/>
                    </w:rPr>
                    <w:t>) לבית המשפט לענייני משפחה מסורה הסמכות לצרף לתובענה הנדונה לפניו "מי שלצורך בירור התובענה והכרעה בסכסוך נדרש שיהיה צד לה, יהא נושא התובענה או שוויה אשר יהא".</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b/>
                      <w:bCs/>
                      <w:noProof w:val="0"/>
                      <w:rtl/>
                    </w:rPr>
                  </w:pPr>
                  <w:r>
                    <w:rPr>
                      <w:rFonts w:ascii="Arial" w:hAnsi="Arial"/>
                      <w:noProof w:val="0"/>
                      <w:rtl/>
                    </w:rPr>
                    <w:t xml:space="preserve">ב-בע"מ 6975/12 </w:t>
                  </w:r>
                  <w:proofErr w:type="spellStart"/>
                  <w:r>
                    <w:rPr>
                      <w:rFonts w:ascii="Arial" w:hAnsi="Arial"/>
                      <w:b/>
                      <w:bCs/>
                      <w:noProof w:val="0"/>
                      <w:rtl/>
                    </w:rPr>
                    <w:t>ב.ח.מ.י</w:t>
                  </w:r>
                  <w:proofErr w:type="spellEnd"/>
                  <w:r>
                    <w:rPr>
                      <w:rFonts w:ascii="Arial" w:hAnsi="Arial"/>
                      <w:b/>
                      <w:bCs/>
                      <w:noProof w:val="0"/>
                      <w:rtl/>
                    </w:rPr>
                    <w:t xml:space="preserve"> ניהול אחזקות בע"מ נ' עו"ד עופר שפירא – כונס נכסים</w:t>
                  </w:r>
                  <w:r>
                    <w:rPr>
                      <w:rFonts w:ascii="Arial" w:hAnsi="Arial"/>
                      <w:noProof w:val="0"/>
                      <w:rtl/>
                    </w:rPr>
                    <w:t xml:space="preserve"> (28.10.2012) עמד בית המשפט העליון, בין היתר, על השיקולים שעל בית המשפט לענייני משפחה לשקול בבואו להפעיל סמכותו מכוח הוראת חוק זו: </w:t>
                  </w:r>
                  <w:r>
                    <w:rPr>
                      <w:rFonts w:ascii="Arial" w:hAnsi="Arial"/>
                      <w:b/>
                      <w:bCs/>
                      <w:noProof w:val="0"/>
                      <w:rtl/>
                    </w:rPr>
                    <w:t>"בהפעלת סמכות הצירוף על פי סעיף 6(ו) לחוק ישקול בית המשפט גם את השאלה, אם הצדק והתועלת בצירופו של הצד השלישי לצורך בירור התובענה וההכרעה בסכסוך, עולים על הפגיעה בעניינו של הצד השלישי שעד לצירופו כלל לא היה צד לתובענה. על בית המשפט לבחון את השאלה, אם לא ניתן לברר את התובענה ולהכריע בסכסוך ללא נוכחותו של הצד השלישי כבעל דין בה...</w:t>
                  </w:r>
                </w:p>
                <w:p w:rsidR="00653672" w:rsidRDefault="00653672">
                  <w:pPr>
                    <w:pStyle w:val="a3"/>
                    <w:spacing w:line="360" w:lineRule="auto"/>
                    <w:ind w:left="278"/>
                    <w:jc w:val="both"/>
                    <w:rPr>
                      <w:rFonts w:ascii="Arial" w:hAnsi="Arial"/>
                      <w:noProof w:val="0"/>
                      <w:rtl/>
                    </w:rPr>
                  </w:pPr>
                  <w:r>
                    <w:rPr>
                      <w:rFonts w:ascii="Arial" w:hAnsi="Arial"/>
                      <w:b/>
                      <w:bCs/>
                      <w:noProof w:val="0"/>
                      <w:rtl/>
                    </w:rPr>
                    <w:t>במסגרת זו, יש לבחון את מידת הפגיעה בעניינו של אותו צד ג' להיות מצורף באופן שאם ניתן להגיע לבירור התובענה ולהכרעה בסכסוך שלא על דרך צירופו, כך יש לנהוג גם אם הדבר קשה יותר. הגישה הכוללנית אינטגרטיבית של המחוקק בחקיקת החוק והמוצאת את ביטויה גם בסעיף 6(ו) לחוק, להביא לפתרון כולל של הסכסוך גם אם צדדים שלישיים שאינם בני משפחה מעורבים בו, אינה צריכה לבוא על חשבון הפגיעה בעניינו של אותו צד. אי לכך אין לעשות שימוש נרחב בהוראה זו"</w:t>
                  </w:r>
                  <w:r>
                    <w:rPr>
                      <w:rFonts w:ascii="Arial" w:hAnsi="Arial"/>
                      <w:noProof w:val="0"/>
                      <w:rtl/>
                    </w:rPr>
                    <w:t>. ראו לעניין זה גם: ש. שוחט ו-</w:t>
                  </w:r>
                  <w:proofErr w:type="spellStart"/>
                  <w:r>
                    <w:rPr>
                      <w:rFonts w:ascii="Arial" w:hAnsi="Arial"/>
                      <w:noProof w:val="0"/>
                      <w:rtl/>
                    </w:rPr>
                    <w:t>ד.שאוה</w:t>
                  </w:r>
                  <w:proofErr w:type="spellEnd"/>
                  <w:r>
                    <w:rPr>
                      <w:rFonts w:ascii="Arial" w:hAnsi="Arial"/>
                      <w:noProof w:val="0"/>
                      <w:rtl/>
                    </w:rPr>
                    <w:t xml:space="preserve">, </w:t>
                  </w:r>
                  <w:r>
                    <w:rPr>
                      <w:rFonts w:ascii="Arial" w:hAnsi="Arial"/>
                      <w:b/>
                      <w:bCs/>
                      <w:noProof w:val="0"/>
                      <w:rtl/>
                    </w:rPr>
                    <w:t>סדר הדין בבית המשפט לענייני משפחה</w:t>
                  </w:r>
                  <w:r>
                    <w:rPr>
                      <w:rFonts w:ascii="Arial" w:hAnsi="Arial"/>
                      <w:noProof w:val="0"/>
                      <w:rtl/>
                    </w:rPr>
                    <w:t xml:space="preserve"> (</w:t>
                  </w:r>
                  <w:proofErr w:type="spellStart"/>
                  <w:r>
                    <w:rPr>
                      <w:rFonts w:ascii="Arial" w:hAnsi="Arial"/>
                      <w:noProof w:val="0"/>
                      <w:rtl/>
                    </w:rPr>
                    <w:t>התש"ע</w:t>
                  </w:r>
                  <w:proofErr w:type="spellEnd"/>
                  <w:r>
                    <w:rPr>
                      <w:rFonts w:ascii="Arial" w:hAnsi="Arial"/>
                      <w:noProof w:val="0"/>
                      <w:rtl/>
                    </w:rPr>
                    <w:t xml:space="preserve">- 2009), עמ' 254-261. </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בבחינת נחיצות הצד השלישי אשר צירופו מתבקש לצורך בירור התובענה והכרעה בסכסוך, אין בית המשפט יכול להסתפק בכך שכתב התביעה מפרט עילות המופנות במישרין כנגד הצד השלישי כדי  שהדבר יבסס עילה מספקת לצירופו, שכן  אם אין הכרח לקשור בין העילה המופנית כנגד הצד השלישי ובין העילות המופנות כנגד יתר הנתבעים וניתן להסתפק בנוכחות הצד שלישי כעד בהליך, אזי לא מתקיימת הצדקה לצירוף הצד השלישי. </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בענייננו, כאמור, לא הוגשה בקשה לצירוף המשיבות כצדדים להליך אלא שהן הוגדרו לכתחילה כנתבעות בהליך שיזם המבקש, וממילא גם בלא  שניתנה לו הרשות לעשות כן.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לית מאן דפליג גם, כי המשיבות שהן חברות בע"מ אינן באות בגדרי הגדרת המונח "בן משפחה" בחוק בית משפט לענייני משפחה, ומשמעות הדבר היא כי ניתן לצרפן לתובענה רק מכוח הוראת סעיף 6(ו) לחוק. </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ברי, אפוא, כי שגה המבקש עת צרף לתביעתו את המשיבות כנתבעות בלא שקיבל היתר לכך מעם בית המשפט לענייני משפחה. הנוהל שבסעיף 6(ו)</w:t>
                  </w:r>
                  <w:r>
                    <w:rPr>
                      <w:rFonts w:ascii="Arial" w:hAnsi="Arial"/>
                      <w:b/>
                      <w:bCs/>
                      <w:noProof w:val="0"/>
                      <w:rtl/>
                    </w:rPr>
                    <w:t xml:space="preserve"> </w:t>
                  </w:r>
                  <w:r>
                    <w:rPr>
                      <w:rFonts w:ascii="Arial" w:hAnsi="Arial"/>
                      <w:noProof w:val="0"/>
                      <w:rtl/>
                    </w:rPr>
                    <w:t xml:space="preserve">לחוק בית משפט לענייני משפחה מחייב, כי בסמוך לאחר הגשת תובענה יגיש תובע המעוניין בכך בקשה מנומקת לצרף להליך צדדים שלישיים שאינם בני משפחה, הנתמכת בתצהיר, אשר בדרך כלל תועבר על ידי בית המשפט לתגובת הצד שכנגד והצדדים השלישיים המבוקשים. במקרה דנא פסח, כאמור, המבקש על הליך זה וצרף את המשיבות על דעת עצמו, מה שגרר הגשת תגובה מצד המשיבות ובהמשך גם כתב הגנה של המשיב 3 במסגרתם הועלו טענות בנוגע לאי נחיצות המשיבות לבירור התובענה, ובסופו של יום הוביל הדבר למחיקתן כנתבעות. </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ככלל, בבואו לדון בעניין מחיקת הצדדים השלישיים שצורפו שלא כדין להליך, לא יורה בית המשפט על מחיקתם רק בשל סטיית התובע מהוראות הדין, שהרי אם יעשה כן, ישוב התובע ויגיש בקשה תקנית לצירופם, ואז יידרש בית המשפט לדון בבקשה לגופה. לפיכך, יבחן בית המשפט, כפי שעשה במקרה דנא, האם קיימת הצדקה לצירוף הצדדים השלישיים, דהיינו המשיבות, לגופו של עניין. </w:t>
                  </w:r>
                </w:p>
                <w:p w:rsidR="00653672" w:rsidRDefault="00653672">
                  <w:pPr>
                    <w:pStyle w:val="a3"/>
                    <w:spacing w:line="360" w:lineRule="auto"/>
                    <w:ind w:left="278"/>
                    <w:jc w:val="both"/>
                    <w:rPr>
                      <w:rFonts w:ascii="Arial" w:hAnsi="Arial"/>
                      <w:noProof w:val="0"/>
                      <w:rtl/>
                    </w:rPr>
                  </w:pPr>
                  <w:r>
                    <w:rPr>
                      <w:rFonts w:ascii="Arial" w:hAnsi="Arial"/>
                      <w:noProof w:val="0"/>
                      <w:rtl/>
                    </w:rPr>
                    <w:t xml:space="preserve">בענייננו מצא, כאמור, בית המשפט קמא, כי המבקש לא עמד ברף הנדרש להצדקת צירוף החברות-המשיבות לצד מסקנתו, כי בעניינו של המבקש חל השתק שיפוטי, המקים בפניו מחסום מפני הגשת תביעה בעניין זכויותיו במשיבות ו/או במי מהן. </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שאלת צירופה של חברה פרטית הקשורה, בדרך זו או אחרת, לבעל דין אשר נתבע ע"י בן משפחתו, זכתה להתייחסות בפסיקת בתי המשפט לענייני משפחה, אולם לא הובעה בשאלה זו דעה אחידה. לצד זאת ניתן לומר, כי בשאלת צירופה של חברה לתביעה שעניינה סכסוך משפחתי על בית המשפט לשקול את הנזק הפוטנציאלי לחברה מצירופה כבעלת דין, למשל פגיעה במוניטין וכיו"ב, אל מול התועלת אשר תצמח מצירופה, והכל בראי אחת התכליות המרכזיות של </w:t>
                  </w:r>
                  <w:proofErr w:type="spellStart"/>
                  <w:r>
                    <w:rPr>
                      <w:rFonts w:ascii="Arial" w:hAnsi="Arial"/>
                      <w:noProof w:val="0"/>
                      <w:rtl/>
                    </w:rPr>
                    <w:t>איסטנציה</w:t>
                  </w:r>
                  <w:proofErr w:type="spellEnd"/>
                  <w:r>
                    <w:rPr>
                      <w:rFonts w:ascii="Arial" w:hAnsi="Arial"/>
                      <w:noProof w:val="0"/>
                      <w:rtl/>
                    </w:rPr>
                    <w:t xml:space="preserve"> זו - הכרעה יעילה וכוללת של הסכסוך המשפחתי. </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הנה כי כן, למעשה ההחלטה על פיה נדחתה בקשת המבקש לצירוף המשיבות כנתבעות בהליך נושאת אופי דיוני. </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בפסיקה עקבית ורבת שנים של בית המשפט העליון כבר נקבע, כי אין דרכה של ערכאת הערעור להתערב בהחלטות דיוניות-ניהוליות הקשורות בסדרי דין ובאופן בו בוחרת הערכאה המבררת לנהל ההליך שלפניה אלא במקרים חריגים ועל מנת למנוע עיוות דין: </w:t>
                  </w:r>
                  <w:r>
                    <w:rPr>
                      <w:rFonts w:ascii="Arial" w:hAnsi="Arial"/>
                      <w:b/>
                      <w:bCs/>
                      <w:noProof w:val="0"/>
                      <w:rtl/>
                    </w:rPr>
                    <w:t>"ביחס לעניינים דיוניים, לגביהם נקבע מימים ימימה כי אין דרכו של בית משפט זה להתערב בשיקול דעתו של השופט על פיו קבע את דרכי הדיון לגבי משפט התלוי ועומד לפניו"</w:t>
                  </w:r>
                  <w:r>
                    <w:rPr>
                      <w:rFonts w:ascii="Arial" w:hAnsi="Arial"/>
                      <w:noProof w:val="0"/>
                      <w:rtl/>
                    </w:rPr>
                    <w:t xml:space="preserve"> [ראו מני רבים: ע"א 607/70 </w:t>
                  </w:r>
                  <w:proofErr w:type="spellStart"/>
                  <w:r>
                    <w:rPr>
                      <w:rFonts w:ascii="Arial" w:hAnsi="Arial"/>
                      <w:b/>
                      <w:bCs/>
                      <w:noProof w:val="0"/>
                      <w:rtl/>
                    </w:rPr>
                    <w:t>אלקטרוניק</w:t>
                  </w:r>
                  <w:proofErr w:type="spellEnd"/>
                  <w:r>
                    <w:rPr>
                      <w:rFonts w:ascii="Arial" w:hAnsi="Arial"/>
                      <w:b/>
                      <w:bCs/>
                      <w:noProof w:val="0"/>
                      <w:rtl/>
                    </w:rPr>
                    <w:t xml:space="preserve"> </w:t>
                  </w:r>
                  <w:proofErr w:type="spellStart"/>
                  <w:r>
                    <w:rPr>
                      <w:rFonts w:ascii="Arial" w:hAnsi="Arial"/>
                      <w:b/>
                      <w:bCs/>
                      <w:noProof w:val="0"/>
                      <w:rtl/>
                    </w:rPr>
                    <w:t>אפלינסס</w:t>
                  </w:r>
                  <w:proofErr w:type="spellEnd"/>
                  <w:r>
                    <w:rPr>
                      <w:rFonts w:ascii="Arial" w:hAnsi="Arial"/>
                      <w:b/>
                      <w:bCs/>
                      <w:noProof w:val="0"/>
                      <w:rtl/>
                    </w:rPr>
                    <w:t xml:space="preserve"> </w:t>
                  </w:r>
                  <w:proofErr w:type="spellStart"/>
                  <w:r>
                    <w:rPr>
                      <w:rFonts w:ascii="Arial" w:hAnsi="Arial"/>
                      <w:b/>
                      <w:bCs/>
                      <w:noProof w:val="0"/>
                      <w:rtl/>
                    </w:rPr>
                    <w:t>קורפורישאן</w:t>
                  </w:r>
                  <w:proofErr w:type="spellEnd"/>
                  <w:r>
                    <w:rPr>
                      <w:rFonts w:ascii="Arial" w:hAnsi="Arial"/>
                      <w:b/>
                      <w:bCs/>
                      <w:noProof w:val="0"/>
                      <w:rtl/>
                    </w:rPr>
                    <w:t xml:space="preserve"> "ירדן" נ' </w:t>
                  </w:r>
                  <w:proofErr w:type="spellStart"/>
                  <w:r>
                    <w:rPr>
                      <w:rFonts w:ascii="Arial" w:hAnsi="Arial"/>
                      <w:b/>
                      <w:bCs/>
                      <w:noProof w:val="0"/>
                      <w:rtl/>
                    </w:rPr>
                    <w:t>גרץ</w:t>
                  </w:r>
                  <w:proofErr w:type="spellEnd"/>
                  <w:r>
                    <w:rPr>
                      <w:rFonts w:ascii="Arial" w:hAnsi="Arial"/>
                      <w:b/>
                      <w:bCs/>
                      <w:noProof w:val="0"/>
                      <w:rtl/>
                    </w:rPr>
                    <w:t xml:space="preserve"> </w:t>
                  </w:r>
                  <w:proofErr w:type="spellStart"/>
                  <w:r>
                    <w:rPr>
                      <w:rFonts w:ascii="Arial" w:hAnsi="Arial"/>
                      <w:b/>
                      <w:bCs/>
                      <w:noProof w:val="0"/>
                      <w:rtl/>
                    </w:rPr>
                    <w:t>פרטרבסגזלשפט</w:t>
                  </w:r>
                  <w:proofErr w:type="spellEnd"/>
                  <w:r>
                    <w:rPr>
                      <w:rFonts w:ascii="Arial" w:hAnsi="Arial"/>
                      <w:noProof w:val="0"/>
                      <w:rtl/>
                    </w:rPr>
                    <w:t xml:space="preserve">, פ"ד כה(2) 441, עמ' 443; רע"א 266/88 </w:t>
                  </w:r>
                  <w:r>
                    <w:rPr>
                      <w:rFonts w:ascii="Arial" w:hAnsi="Arial"/>
                      <w:b/>
                      <w:bCs/>
                      <w:noProof w:val="0"/>
                      <w:rtl/>
                    </w:rPr>
                    <w:t xml:space="preserve">סאן אינטרנשיונל </w:t>
                  </w:r>
                  <w:proofErr w:type="spellStart"/>
                  <w:r>
                    <w:rPr>
                      <w:rFonts w:ascii="Arial" w:hAnsi="Arial"/>
                      <w:b/>
                      <w:bCs/>
                      <w:noProof w:val="0"/>
                      <w:rtl/>
                    </w:rPr>
                    <w:t>לימיטד</w:t>
                  </w:r>
                  <w:proofErr w:type="spellEnd"/>
                  <w:r>
                    <w:rPr>
                      <w:rFonts w:ascii="Arial" w:hAnsi="Arial"/>
                      <w:b/>
                      <w:bCs/>
                      <w:noProof w:val="0"/>
                      <w:rtl/>
                    </w:rPr>
                    <w:t xml:space="preserve"> ואח' נ' מדינת ישראל</w:t>
                  </w:r>
                  <w:r>
                    <w:rPr>
                      <w:rFonts w:ascii="Arial" w:hAnsi="Arial"/>
                      <w:noProof w:val="0"/>
                      <w:rtl/>
                    </w:rPr>
                    <w:t xml:space="preserve">, פ"ד מד(2), 206, 210; רע"א 2048/03 </w:t>
                  </w:r>
                  <w:r>
                    <w:rPr>
                      <w:rFonts w:ascii="Arial" w:hAnsi="Arial"/>
                      <w:b/>
                      <w:bCs/>
                      <w:noProof w:val="0"/>
                      <w:rtl/>
                    </w:rPr>
                    <w:t xml:space="preserve">יוסף שוחט ז"ל נ' </w:t>
                  </w:r>
                  <w:r>
                    <w:rPr>
                      <w:rFonts w:ascii="Arial" w:hAnsi="Arial"/>
                      <w:b/>
                      <w:bCs/>
                      <w:noProof w:val="0"/>
                    </w:rPr>
                    <w:t>UNITED STATES OF AMERICA</w:t>
                  </w:r>
                  <w:r>
                    <w:rPr>
                      <w:rFonts w:ascii="Arial" w:hAnsi="Arial"/>
                      <w:b/>
                      <w:bCs/>
                      <w:noProof w:val="0"/>
                      <w:rtl/>
                    </w:rPr>
                    <w:t xml:space="preserve"> </w:t>
                  </w:r>
                  <w:r>
                    <w:rPr>
                      <w:rFonts w:ascii="Arial" w:hAnsi="Arial"/>
                      <w:noProof w:val="0"/>
                      <w:rtl/>
                    </w:rPr>
                    <w:t xml:space="preserve">(לא פורסם); רע"א 8952/05 </w:t>
                  </w:r>
                  <w:r>
                    <w:rPr>
                      <w:rFonts w:ascii="Arial" w:hAnsi="Arial"/>
                      <w:b/>
                      <w:bCs/>
                      <w:noProof w:val="0"/>
                      <w:rtl/>
                    </w:rPr>
                    <w:t xml:space="preserve">יורם נור ואח' נ' </w:t>
                  </w:r>
                  <w:proofErr w:type="spellStart"/>
                  <w:r>
                    <w:rPr>
                      <w:rFonts w:ascii="Arial" w:hAnsi="Arial"/>
                      <w:b/>
                      <w:bCs/>
                      <w:noProof w:val="0"/>
                      <w:rtl/>
                    </w:rPr>
                    <w:t>מינהל</w:t>
                  </w:r>
                  <w:proofErr w:type="spellEnd"/>
                  <w:r>
                    <w:rPr>
                      <w:rFonts w:ascii="Arial" w:hAnsi="Arial"/>
                      <w:b/>
                      <w:bCs/>
                      <w:noProof w:val="0"/>
                      <w:rtl/>
                    </w:rPr>
                    <w:t xml:space="preserve"> מקרקעי ישראל ואח'</w:t>
                  </w:r>
                  <w:r>
                    <w:rPr>
                      <w:rFonts w:ascii="Arial" w:hAnsi="Arial"/>
                      <w:noProof w:val="0"/>
                      <w:rtl/>
                    </w:rPr>
                    <w:t xml:space="preserve"> (לא פורסם); בע"מ 7275/18 </w:t>
                  </w:r>
                  <w:r>
                    <w:rPr>
                      <w:rFonts w:ascii="Arial" w:hAnsi="Arial"/>
                      <w:b/>
                      <w:bCs/>
                      <w:noProof w:val="0"/>
                      <w:rtl/>
                    </w:rPr>
                    <w:t>פלוני נ' פלונית ואח'</w:t>
                  </w:r>
                  <w:r>
                    <w:rPr>
                      <w:rFonts w:ascii="Arial" w:hAnsi="Arial"/>
                      <w:noProof w:val="0"/>
                      <w:rtl/>
                    </w:rPr>
                    <w:t xml:space="preserve"> (פורסם במאגרים האלקטרוניים)]. </w:t>
                  </w:r>
                </w:p>
                <w:p w:rsidR="00653672" w:rsidRDefault="00653672">
                  <w:pPr>
                    <w:pStyle w:val="a3"/>
                    <w:spacing w:line="360" w:lineRule="auto"/>
                    <w:ind w:left="278"/>
                    <w:jc w:val="both"/>
                    <w:rPr>
                      <w:rFonts w:ascii="Arial" w:hAnsi="Arial"/>
                      <w:noProof w:val="0"/>
                      <w:rtl/>
                    </w:rPr>
                  </w:pPr>
                </w:p>
                <w:p w:rsidR="00653672" w:rsidRDefault="00653672">
                  <w:pPr>
                    <w:pStyle w:val="a3"/>
                    <w:spacing w:line="360" w:lineRule="auto"/>
                    <w:ind w:left="278"/>
                    <w:jc w:val="both"/>
                    <w:rPr>
                      <w:rFonts w:ascii="Arial" w:hAnsi="Arial"/>
                      <w:noProof w:val="0"/>
                      <w:rtl/>
                    </w:rPr>
                  </w:pPr>
                  <w:r>
                    <w:rPr>
                      <w:rFonts w:ascii="Arial" w:hAnsi="Arial"/>
                      <w:noProof w:val="0"/>
                      <w:rtl/>
                    </w:rPr>
                    <w:t xml:space="preserve">ובאופן ספציפי, דהיינו בשאלת צירוף צד שלישי שאינו בן משפחה להליך המתנהל בבית משפט לענייני משפחה - מלשון החוק עולה, כי עסקינן בסמכות שהיא ברשות בית המשפט לענייני משפחה ואין היא בגדר חובה. ההחלטה בעניין זה מסורה, אפוא, לשיקול דעתה של הערכאה המבררת, בפניה מנוהל התיק, והיא מכירה את הנפשות הפועלות בו ובקיאה במסד העובדתי והמשפטי שלו, והיות ששיקול דעתה של הערכאה המבררת </w:t>
                  </w:r>
                  <w:proofErr w:type="spellStart"/>
                  <w:r>
                    <w:rPr>
                      <w:rFonts w:ascii="Arial" w:hAnsi="Arial"/>
                      <w:noProof w:val="0"/>
                      <w:rtl/>
                    </w:rPr>
                    <w:t>בכגון</w:t>
                  </w:r>
                  <w:proofErr w:type="spellEnd"/>
                  <w:r>
                    <w:rPr>
                      <w:rFonts w:ascii="Arial" w:hAnsi="Arial"/>
                      <w:noProof w:val="0"/>
                      <w:rtl/>
                    </w:rPr>
                    <w:t xml:space="preserve"> דא הוא רחב, לא בנקל תתערב בו ערכאת הערעור. </w:t>
                  </w:r>
                </w:p>
                <w:p w:rsidR="00653672" w:rsidRDefault="00653672">
                  <w:pPr>
                    <w:pStyle w:val="a3"/>
                    <w:spacing w:line="360" w:lineRule="auto"/>
                    <w:ind w:left="278"/>
                    <w:jc w:val="both"/>
                    <w:rPr>
                      <w:rFonts w:ascii="Arial" w:hAnsi="Arial"/>
                      <w:noProof w:val="0"/>
                      <w:rtl/>
                    </w:rPr>
                  </w:pPr>
                  <w:r>
                    <w:rPr>
                      <w:rFonts w:ascii="Arial" w:hAnsi="Arial"/>
                      <w:noProof w:val="0"/>
                      <w:rtl/>
                    </w:rPr>
                    <w:t>ב-</w:t>
                  </w:r>
                  <w:r>
                    <w:rPr>
                      <w:rFonts w:ascii="Arial" w:hAnsi="Arial"/>
                      <w:b/>
                      <w:bCs/>
                      <w:noProof w:val="0"/>
                      <w:rtl/>
                    </w:rPr>
                    <w:t>בע"מ 6975/12</w:t>
                  </w:r>
                  <w:r>
                    <w:rPr>
                      <w:rFonts w:ascii="Arial" w:hAnsi="Arial"/>
                      <w:noProof w:val="0"/>
                      <w:rtl/>
                    </w:rPr>
                    <w:t xml:space="preserve"> הנ"ל נקבע בעניין זה לאמור:</w:t>
                  </w:r>
                </w:p>
                <w:p w:rsidR="00653672" w:rsidRDefault="00653672">
                  <w:pPr>
                    <w:pStyle w:val="a3"/>
                    <w:spacing w:line="360" w:lineRule="auto"/>
                    <w:ind w:left="420" w:hanging="142"/>
                    <w:jc w:val="both"/>
                    <w:rPr>
                      <w:rFonts w:ascii="Arial" w:hAnsi="Arial"/>
                      <w:noProof w:val="0"/>
                      <w:rtl/>
                    </w:rPr>
                  </w:pPr>
                  <w:r>
                    <w:rPr>
                      <w:rFonts w:ascii="David" w:hAnsi="David"/>
                      <w:b/>
                      <w:bCs/>
                      <w:color w:val="000000"/>
                      <w:rtl/>
                    </w:rPr>
                    <w:t>"[...] סעיף 6(ו) מסמיך את בית המשפט לענייני משפחה לשקול האם צירופו של צד שלישי (שאינו 'בן משפחה' כהגדרת מונח זה בחוק) נדרש לצורך בירור תובענה שמתנהלת לפניו. ודוק, מדובר בסמכות 'לגרור' לתוך תובענה שמתנהלת בבית המשפט לענייני משפחה גם צדדים שאינם 'בני משפחה'. במסגרת זו על בית המשפט לשקול את התועלת הדיונית שבצירופו של הצד השלישי לתובענה למול הפגיעה שעלולה להיגרם לו כתוצאה מהצירוף, והכול על רקע התכלית המצויה בבסיסו של החוק לרכז בערכאה מקצועית אחת את כל המחלוקות שבין בני משפחה בשים לב לאופיו המיוחד של הסכסוך המשפחתי [ראו והשוו: רע"א 6558/99 חבס נ' חבס, פ"ד נד(4) 337</w:t>
                  </w:r>
                  <w:r>
                    <w:rPr>
                      <w:rFonts w:ascii="David" w:hAnsi="David"/>
                      <w:b/>
                      <w:bCs/>
                      <w:color w:val="000000"/>
                    </w:rPr>
                    <w:t xml:space="preserve"> (2000)</w:t>
                  </w:r>
                  <w:r>
                    <w:rPr>
                      <w:rFonts w:ascii="David" w:hAnsi="David"/>
                      <w:b/>
                      <w:bCs/>
                      <w:color w:val="000000"/>
                      <w:rtl/>
                    </w:rPr>
                    <w:t xml:space="preserve">]. </w:t>
                  </w:r>
                  <w:r>
                    <w:rPr>
                      <w:rFonts w:ascii="David" w:hAnsi="David"/>
                      <w:b/>
                      <w:bCs/>
                      <w:color w:val="000000"/>
                      <w:u w:val="single"/>
                      <w:rtl/>
                    </w:rPr>
                    <w:t>נוכח אופיו של בית המשפט לענייני משפחה כערכאה 'מיוחדת' שהוקמה לשם טיפול בסכסוכים משפחתיים, השתרשה בבתי המשפט לענייני משפחה מגמה לפיה השימוש בסמכות הקבועה בסעיף 6(ו) לחוק ייעשה בצמצום ובמשורה</w:t>
                  </w:r>
                  <w:r>
                    <w:rPr>
                      <w:rFonts w:ascii="David" w:hAnsi="David"/>
                      <w:b/>
                      <w:bCs/>
                      <w:color w:val="000000"/>
                      <w:rtl/>
                    </w:rPr>
                    <w:t xml:space="preserve"> [ראו והשוו: שאול שוחט ודוד </w:t>
                  </w:r>
                  <w:hyperlink r:id="rId5" w:history="1">
                    <w:r>
                      <w:rPr>
                        <w:rStyle w:val="Hyperlink"/>
                        <w:rFonts w:ascii="David" w:hAnsi="David"/>
                        <w:b/>
                        <w:bCs/>
                        <w:color w:val="000000"/>
                        <w:rtl/>
                      </w:rPr>
                      <w:t>שאוה סדר הדין בבית המשפט</w:t>
                    </w:r>
                  </w:hyperlink>
                  <w:r>
                    <w:rPr>
                      <w:rFonts w:ascii="David" w:hAnsi="David"/>
                      <w:b/>
                      <w:bCs/>
                      <w:color w:val="000000"/>
                      <w:rtl/>
                    </w:rPr>
                    <w:t xml:space="preserve"> לענייני משפחה 261-254 (התש"ע-2009) והדוגמאות המובאות שם מן הפסיקה]. [...] הרי שבצדק קבע בית המשפט כי מדובר בסופו של דבר בסמכות אשר שיקול הדעת שבצידה הינו רחב וכי מדובר ביישום פרטני בכל מקרה לגופו. כאמור, </w:t>
                  </w:r>
                  <w:r>
                    <w:rPr>
                      <w:rFonts w:ascii="David" w:hAnsi="David"/>
                      <w:b/>
                      <w:bCs/>
                      <w:color w:val="000000"/>
                      <w:u w:val="single"/>
                      <w:rtl/>
                    </w:rPr>
                    <w:t>התערבותה של ערכאת הערעור בכגון דא תישמר למקרים נדירים בהם הותרת ההחלטה על כנה תגרום לעיוות דין</w:t>
                  </w:r>
                  <w:r>
                    <w:rPr>
                      <w:rFonts w:ascii="David" w:hAnsi="David"/>
                      <w:b/>
                      <w:bCs/>
                      <w:color w:val="000000"/>
                      <w:rtl/>
                    </w:rPr>
                    <w:t>."</w:t>
                  </w:r>
                  <w:r>
                    <w:rPr>
                      <w:rFonts w:ascii="Arial" w:hAnsi="Arial"/>
                      <w:noProof w:val="0"/>
                      <w:rtl/>
                    </w:rPr>
                    <w:t xml:space="preserve"> (ההדגשות אינן במקור – </w:t>
                  </w:r>
                  <w:proofErr w:type="spellStart"/>
                  <w:r>
                    <w:rPr>
                      <w:rFonts w:ascii="Arial" w:hAnsi="Arial"/>
                      <w:noProof w:val="0"/>
                      <w:rtl/>
                    </w:rPr>
                    <w:t>פ.ג.כ</w:t>
                  </w:r>
                  <w:proofErr w:type="spellEnd"/>
                  <w:r>
                    <w:rPr>
                      <w:rFonts w:ascii="Arial" w:hAnsi="Arial"/>
                      <w:noProof w:val="0"/>
                      <w:rtl/>
                    </w:rPr>
                    <w:t xml:space="preserve">). </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u w:val="single"/>
                      <w:rtl/>
                    </w:rPr>
                    <w:t>ומן הכלל אל הפרט</w:t>
                  </w:r>
                  <w:r>
                    <w:rPr>
                      <w:rFonts w:ascii="Arial" w:hAnsi="Arial"/>
                      <w:noProof w:val="0"/>
                      <w:rtl/>
                    </w:rPr>
                    <w:t xml:space="preserve"> - לא מצאתי, כי נסיבות המקרה דנא באות בגדר החריג לכלל האמור, המצדיק התערבות ערכאת הערעור בשיקול הדעת ובהחלטת בית המשפט קמא.</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ודוק, לא מצאתי שגגה בהחלטה לפיה צירוף המשיבות כצדדים להליך קמא נחוץ לשם ההכרעה בו.</w:t>
                  </w:r>
                </w:p>
                <w:p w:rsidR="00653672" w:rsidRDefault="00653672">
                  <w:pPr>
                    <w:pStyle w:val="a3"/>
                    <w:spacing w:line="360" w:lineRule="auto"/>
                    <w:ind w:left="420"/>
                    <w:jc w:val="both"/>
                    <w:rPr>
                      <w:rFonts w:ascii="Arial" w:hAnsi="Arial"/>
                      <w:noProof w:val="0"/>
                      <w:rtl/>
                    </w:rPr>
                  </w:pPr>
                </w:p>
                <w:p w:rsidR="00653672" w:rsidRDefault="00653672">
                  <w:pPr>
                    <w:pStyle w:val="a3"/>
                    <w:spacing w:before="120" w:line="360" w:lineRule="auto"/>
                    <w:ind w:left="420"/>
                    <w:jc w:val="both"/>
                    <w:rPr>
                      <w:rFonts w:ascii="Arial" w:hAnsi="Arial"/>
                      <w:noProof w:val="0"/>
                      <w:rtl/>
                    </w:rPr>
                  </w:pPr>
                  <w:r>
                    <w:rPr>
                      <w:rFonts w:ascii="Arial" w:hAnsi="Arial"/>
                      <w:noProof w:val="0"/>
                      <w:rtl/>
                    </w:rPr>
                    <w:t>אמנם, אם תתקבל תביעת המבקש, עלולות לכאורה להיפגע זכויות המשיבות.</w:t>
                  </w:r>
                </w:p>
                <w:p w:rsidR="00653672" w:rsidRDefault="00653672">
                  <w:pPr>
                    <w:pStyle w:val="a3"/>
                    <w:spacing w:before="120" w:line="360" w:lineRule="auto"/>
                    <w:ind w:left="420"/>
                    <w:jc w:val="both"/>
                    <w:rPr>
                      <w:rFonts w:ascii="Arial" w:hAnsi="Arial"/>
                      <w:noProof w:val="0"/>
                      <w:rtl/>
                    </w:rPr>
                  </w:pPr>
                </w:p>
                <w:p w:rsidR="00653672" w:rsidRDefault="00653672">
                  <w:pPr>
                    <w:pStyle w:val="a3"/>
                    <w:spacing w:before="120" w:line="360" w:lineRule="auto"/>
                    <w:ind w:left="420"/>
                    <w:jc w:val="both"/>
                    <w:rPr>
                      <w:rFonts w:ascii="Arial" w:hAnsi="Arial"/>
                      <w:noProof w:val="0"/>
                      <w:rtl/>
                    </w:rPr>
                  </w:pPr>
                  <w:r>
                    <w:rPr>
                      <w:rFonts w:ascii="Arial" w:hAnsi="Arial"/>
                      <w:noProof w:val="0"/>
                      <w:rtl/>
                    </w:rPr>
                    <w:t xml:space="preserve">עם זאת ומבלי להביע עמדה בשאלת סיכויי ההליך קמא ו/או לטעת מסמרות, עניין לנו בחברות בע"מ שהן כידוע ישויות משפטיות נפרדות מבעליהן, וכדי לזכות בסעד העיקרי הנתבע על ידו, על המבקש לצלוח משוכה גבוהה ו"לדלג" מעל מסכי ההתאגדות שלהן, משאין חולק, כי הסכסוך הוא למעשה בין המבקש והמשיב 3.  </w:t>
                  </w:r>
                </w:p>
                <w:p w:rsidR="00653672" w:rsidRDefault="00653672">
                  <w:pPr>
                    <w:pStyle w:val="a3"/>
                    <w:spacing w:before="120" w:line="360" w:lineRule="auto"/>
                    <w:ind w:left="420"/>
                    <w:jc w:val="both"/>
                    <w:rPr>
                      <w:rFonts w:ascii="Arial" w:hAnsi="Arial"/>
                      <w:noProof w:val="0"/>
                      <w:rtl/>
                    </w:rPr>
                  </w:pPr>
                  <w:r>
                    <w:rPr>
                      <w:rFonts w:ascii="Arial" w:hAnsi="Arial"/>
                      <w:noProof w:val="0"/>
                      <w:rtl/>
                    </w:rPr>
                    <w:t>המבקש טוען, למעשה, כי המשיב 3 הפר התחייבותו כלפיו בנוגע לזכויותיו במשיבה 1 ו/או בנוגע לזכויות במגרש שבבעלותה.</w:t>
                  </w:r>
                </w:p>
                <w:p w:rsidR="00653672" w:rsidRDefault="00653672">
                  <w:pPr>
                    <w:pStyle w:val="a3"/>
                    <w:spacing w:before="120" w:line="360" w:lineRule="auto"/>
                    <w:ind w:left="420"/>
                    <w:jc w:val="both"/>
                    <w:rPr>
                      <w:rFonts w:ascii="Arial" w:hAnsi="Arial"/>
                      <w:noProof w:val="0"/>
                      <w:rtl/>
                    </w:rPr>
                  </w:pPr>
                  <w:r>
                    <w:rPr>
                      <w:rFonts w:ascii="Arial" w:hAnsi="Arial"/>
                      <w:noProof w:val="0"/>
                      <w:rtl/>
                    </w:rPr>
                    <w:t>בדין נקבע, אפוא, כי עילות התביעה מכוונות כנגד המשיב 3 ולא כנגד מי מהמשיבות, ולא עלה בידי המבקש להניח התשתית הנדרשת כדי להצדיק ה"דילוג" האמור בין המשיב 3 והמשיבות או מי מהן.</w:t>
                  </w:r>
                </w:p>
                <w:p w:rsidR="00653672" w:rsidRDefault="00653672">
                  <w:pPr>
                    <w:pStyle w:val="a3"/>
                    <w:spacing w:before="120" w:line="360" w:lineRule="auto"/>
                    <w:ind w:left="420"/>
                    <w:jc w:val="both"/>
                    <w:rPr>
                      <w:rFonts w:ascii="Arial" w:hAnsi="Arial"/>
                      <w:noProof w:val="0"/>
                      <w:rtl/>
                    </w:rPr>
                  </w:pPr>
                  <w:r>
                    <w:rPr>
                      <w:rFonts w:ascii="Arial" w:hAnsi="Arial"/>
                      <w:noProof w:val="0"/>
                      <w:rtl/>
                    </w:rPr>
                    <w:t xml:space="preserve">המסקנה היא, אפוא, כי לא די בכך </w:t>
                  </w:r>
                  <w:proofErr w:type="spellStart"/>
                  <w:r>
                    <w:rPr>
                      <w:rFonts w:ascii="Arial" w:hAnsi="Arial"/>
                      <w:noProof w:val="0"/>
                      <w:rtl/>
                    </w:rPr>
                    <w:t>שהסעדים</w:t>
                  </w:r>
                  <w:proofErr w:type="spellEnd"/>
                  <w:r>
                    <w:rPr>
                      <w:rFonts w:ascii="Arial" w:hAnsi="Arial"/>
                      <w:noProof w:val="0"/>
                      <w:rtl/>
                    </w:rPr>
                    <w:t xml:space="preserve"> הנתבעים ע"י המבקש או איזה מהם מכוונים כלפי המשיבות כדי להצדיק צירופן כנתבעות בהליך.</w:t>
                  </w:r>
                </w:p>
                <w:p w:rsidR="00653672" w:rsidRDefault="00653672">
                  <w:pPr>
                    <w:pStyle w:val="a3"/>
                    <w:spacing w:before="120" w:line="360" w:lineRule="auto"/>
                    <w:ind w:left="420"/>
                    <w:jc w:val="both"/>
                    <w:rPr>
                      <w:rFonts w:ascii="Arial" w:hAnsi="Arial"/>
                      <w:noProof w:val="0"/>
                      <w:rtl/>
                    </w:rPr>
                  </w:pPr>
                  <w:r>
                    <w:rPr>
                      <w:rFonts w:ascii="Arial" w:hAnsi="Arial"/>
                      <w:noProof w:val="0"/>
                      <w:rtl/>
                    </w:rPr>
                    <w:t xml:space="preserve">  </w:t>
                  </w:r>
                </w:p>
                <w:p w:rsidR="00653672" w:rsidRDefault="00653672">
                  <w:pPr>
                    <w:pStyle w:val="a3"/>
                    <w:spacing w:before="120" w:line="360" w:lineRule="auto"/>
                    <w:ind w:left="420"/>
                    <w:jc w:val="both"/>
                    <w:rPr>
                      <w:rFonts w:ascii="Arial" w:hAnsi="Arial"/>
                      <w:noProof w:val="0"/>
                      <w:rtl/>
                    </w:rPr>
                  </w:pPr>
                  <w:r>
                    <w:rPr>
                      <w:rFonts w:ascii="Arial" w:hAnsi="Arial"/>
                      <w:noProof w:val="0"/>
                      <w:rtl/>
                    </w:rPr>
                    <w:t xml:space="preserve">לא נעלמה מעיניי טענת המבקש, כי בשעתו הועבר על ידו סך של 400,000 ₪ לחשבון הבנק של המשיבה 1, ברם ספק רב אם בשלב זה של ההליך די בכך כדי לבסס יריבות בינו ובינה ו/או בינו ובין המשיבה 2.  </w:t>
                  </w:r>
                </w:p>
                <w:p w:rsidR="00653672" w:rsidRDefault="00653672">
                  <w:pPr>
                    <w:pStyle w:val="a3"/>
                    <w:spacing w:before="120" w:line="360" w:lineRule="auto"/>
                    <w:ind w:left="420"/>
                    <w:jc w:val="both"/>
                    <w:rPr>
                      <w:rFonts w:ascii="Arial" w:hAnsi="Arial"/>
                      <w:noProof w:val="0"/>
                      <w:rtl/>
                    </w:rPr>
                  </w:pPr>
                  <w:r>
                    <w:rPr>
                      <w:rFonts w:ascii="Arial" w:hAnsi="Arial"/>
                      <w:noProof w:val="0"/>
                      <w:rtl/>
                    </w:rPr>
                    <w:t>יתר על כן, אין בפי המבקש כל טענה להתקשרות חוזית בינו ובין המשיבות או מי מהן.</w:t>
                  </w:r>
                </w:p>
                <w:p w:rsidR="00653672" w:rsidRDefault="00653672">
                  <w:pPr>
                    <w:pStyle w:val="a3"/>
                    <w:spacing w:before="120"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 xml:space="preserve">נראה גם, וזאת יאמר בזהירות המתחייבת, כי המרחק בין טענה זו שעניינה העברת הסך האמור לחשבון הבנק של המשיבה 1, הגם שהיא נתמכת לכאורה באסמכתא, ובין הטענה, כי העברה זו מקנה לו הזכאות ב-25% מהון מניותיה של המשיבה 1 הוא רב, משלא הוצגה כל ראיה </w:t>
                  </w:r>
                  <w:proofErr w:type="spellStart"/>
                  <w:r>
                    <w:rPr>
                      <w:rFonts w:ascii="Arial" w:hAnsi="Arial"/>
                      <w:noProof w:val="0"/>
                      <w:rtl/>
                    </w:rPr>
                    <w:t>חפצית</w:t>
                  </w:r>
                  <w:proofErr w:type="spellEnd"/>
                  <w:r>
                    <w:rPr>
                      <w:rFonts w:ascii="Arial" w:hAnsi="Arial"/>
                      <w:noProof w:val="0"/>
                      <w:rtl/>
                    </w:rPr>
                    <w:t xml:space="preserve"> אחרת המעידה על התקשרות חוזית בין המבקש ובין המשיבות או מי מהן.  </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גם בטענת המבקש לפיה צירוף המשיבות עשוי להגדיל את פוטנציאל הגבייה שלו ככל שתביעתו הכספית תתקבל אין כדי להצדיק צירופן להליך, ועל יסוד המפורט בהרחבה לעיל בעניין המדיניות המשפטית הנוהגת בעניין צירוף צדי ג' להליכים המתנהלים בבית המשפט לענייני משפחה, ברי כי שיקול זה אינו ממין העניין, ואין צורך להכביר מילים בדבר.</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באשר לסוגיית המניעות – לא מצאתי מקום להידרש לטענות הצדדים בעניין זה משלא הוגשה ע"י המבקש בקשה לפסילת המותב קמא, שהיא הפלטפורמה הדיונית המתאימה לבירור עניין זה. זאת, כמובן, מבלי שיש בכך משום הבעת עמדה או מתן עצה בנושא.</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 xml:space="preserve">ובאשר לטענות בעניין </w:t>
                  </w:r>
                  <w:proofErr w:type="spellStart"/>
                  <w:r>
                    <w:rPr>
                      <w:rFonts w:ascii="Arial" w:hAnsi="Arial"/>
                      <w:noProof w:val="0"/>
                      <w:rtl/>
                    </w:rPr>
                    <w:t>ההשתק</w:t>
                  </w:r>
                  <w:proofErr w:type="spellEnd"/>
                  <w:r>
                    <w:rPr>
                      <w:rFonts w:ascii="Arial" w:hAnsi="Arial"/>
                      <w:noProof w:val="0"/>
                      <w:rtl/>
                    </w:rPr>
                    <w:t xml:space="preserve"> השיפוטי – אכן וכפי שנטען ע"י המבקש, אין המדובר בטענת סף ואף שלכאורה לשון תצהירו של המבקש באשר הוגש בהליך הקודם שנוהל בבית המשפט לענייני משפחה ברורה ועל פניו הצהרותיו בגדרו עומדות בסתירה לנטען על ידו בהליך קמא, ככל שהמשיב 3 עומד עליהן, הן טעונות בירור והכרעה.</w:t>
                  </w:r>
                </w:p>
                <w:p w:rsidR="00653672" w:rsidRDefault="00653672">
                  <w:pPr>
                    <w:pStyle w:val="a3"/>
                    <w:spacing w:line="360" w:lineRule="auto"/>
                    <w:ind w:left="420"/>
                    <w:jc w:val="both"/>
                    <w:rPr>
                      <w:rFonts w:ascii="Arial" w:hAnsi="Arial"/>
                      <w:noProof w:val="0"/>
                      <w:rtl/>
                    </w:rPr>
                  </w:pPr>
                  <w:r>
                    <w:rPr>
                      <w:rFonts w:ascii="Arial" w:hAnsi="Arial"/>
                      <w:noProof w:val="0"/>
                      <w:rtl/>
                    </w:rPr>
                    <w:t xml:space="preserve">עם זאת, לטעמי, יש בכוחו של התצהיר האמור להטות הכף לעבר דחיית הבקשה לצירוף המשיבות כנתבעות בהליך, ויש לו משקל ראייתי שהוא רלבנטי לצורך הדיון וההכרעה בבקשה האמורה בהינתן השלב המקדמי בו מצוי ההליך קמא ועקרון תום הלב החל גם על ניהול הליכים משפטיים ועל הפעלתן של זכויות דיוניות ע"י בעלי הדין.      </w:t>
                  </w:r>
                </w:p>
                <w:p w:rsidR="00653672" w:rsidRDefault="00653672">
                  <w:pPr>
                    <w:pStyle w:val="a3"/>
                    <w:spacing w:line="360" w:lineRule="auto"/>
                    <w:ind w:left="420"/>
                    <w:jc w:val="both"/>
                    <w:rPr>
                      <w:rFonts w:ascii="Arial" w:hAnsi="Arial"/>
                      <w:noProof w:val="0"/>
                      <w:rtl/>
                    </w:rPr>
                  </w:pPr>
                  <w:r>
                    <w:rPr>
                      <w:rFonts w:ascii="Arial" w:hAnsi="Arial"/>
                      <w:noProof w:val="0"/>
                      <w:rtl/>
                    </w:rPr>
                    <w:t xml:space="preserve"> </w:t>
                  </w:r>
                </w:p>
                <w:p w:rsidR="00653672" w:rsidRDefault="00653672">
                  <w:pPr>
                    <w:pStyle w:val="a3"/>
                    <w:spacing w:line="360" w:lineRule="auto"/>
                    <w:ind w:left="420"/>
                    <w:jc w:val="both"/>
                    <w:rPr>
                      <w:rFonts w:ascii="Arial" w:hAnsi="Arial"/>
                      <w:noProof w:val="0"/>
                      <w:rtl/>
                    </w:rPr>
                  </w:pPr>
                  <w:r>
                    <w:rPr>
                      <w:rFonts w:ascii="Arial" w:hAnsi="Arial"/>
                      <w:noProof w:val="0"/>
                      <w:rtl/>
                    </w:rPr>
                    <w:t>על יסוד כל האמור לעיל, לא מצאתי מקום להתערב בהחלטת בית המשפט קמא.</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לפיכך, בקשת רשות הערעור נדחית.</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המבקש יישא בהוצאות המשיבות בסך 5,000 ₪ ובהוצאות המשיב 3 בסך 2,500 ₪ מתוך העירבון שהופקד על ידו ובאמצעות באי כוחם.</w:t>
                  </w:r>
                </w:p>
                <w:p w:rsidR="00653672" w:rsidRDefault="00653672">
                  <w:pPr>
                    <w:pStyle w:val="a3"/>
                    <w:spacing w:line="360" w:lineRule="auto"/>
                    <w:ind w:left="420"/>
                    <w:jc w:val="both"/>
                    <w:rPr>
                      <w:rFonts w:ascii="Arial" w:hAnsi="Arial"/>
                      <w:noProof w:val="0"/>
                      <w:rtl/>
                    </w:rPr>
                  </w:pPr>
                </w:p>
                <w:p w:rsidR="00653672" w:rsidRDefault="00653672">
                  <w:pPr>
                    <w:pStyle w:val="a3"/>
                    <w:spacing w:line="360" w:lineRule="auto"/>
                    <w:ind w:left="420"/>
                    <w:jc w:val="both"/>
                    <w:rPr>
                      <w:rFonts w:ascii="Arial" w:hAnsi="Arial"/>
                      <w:noProof w:val="0"/>
                      <w:rtl/>
                    </w:rPr>
                  </w:pPr>
                  <w:r>
                    <w:rPr>
                      <w:rFonts w:ascii="Arial" w:hAnsi="Arial"/>
                      <w:noProof w:val="0"/>
                      <w:rtl/>
                    </w:rPr>
                    <w:t xml:space="preserve">ככל שתיוותר יתרה היא תוחזר לידי המבקש באמצעות בא-כוחו. </w:t>
                  </w:r>
                </w:p>
                <w:p w:rsidR="00653672" w:rsidRDefault="00653672">
                  <w:pPr>
                    <w:pStyle w:val="a3"/>
                    <w:spacing w:line="360" w:lineRule="auto"/>
                    <w:jc w:val="both"/>
                    <w:rPr>
                      <w:rFonts w:ascii="Arial" w:hAnsi="Arial"/>
                      <w:noProof w:val="0"/>
                      <w:rtl/>
                    </w:rPr>
                  </w:pPr>
                </w:p>
                <w:p w:rsidR="00653672" w:rsidRDefault="00653672">
                  <w:pPr>
                    <w:pStyle w:val="a3"/>
                    <w:spacing w:line="360" w:lineRule="auto"/>
                    <w:ind w:left="561" w:hanging="141"/>
                    <w:jc w:val="both"/>
                    <w:rPr>
                      <w:rFonts w:ascii="Arial" w:hAnsi="Arial"/>
                      <w:noProof w:val="0"/>
                      <w:rtl/>
                    </w:rPr>
                  </w:pPr>
                  <w:r>
                    <w:rPr>
                      <w:rFonts w:ascii="Arial" w:hAnsi="Arial"/>
                      <w:noProof w:val="0"/>
                      <w:rtl/>
                    </w:rPr>
                    <w:t xml:space="preserve">המזכירות תמציא ההחלטה לצדדים ותסגור התיק. </w:t>
                  </w:r>
                </w:p>
                <w:p w:rsidR="00653672" w:rsidRDefault="00653672">
                  <w:pPr>
                    <w:pStyle w:val="a3"/>
                    <w:spacing w:line="360" w:lineRule="auto"/>
                    <w:ind w:left="561" w:hanging="141"/>
                    <w:jc w:val="both"/>
                    <w:rPr>
                      <w:rFonts w:ascii="Arial" w:hAnsi="Arial"/>
                      <w:noProof w:val="0"/>
                      <w:rtl/>
                    </w:rPr>
                  </w:pPr>
                </w:p>
                <w:p w:rsidR="00653672" w:rsidRDefault="00653672">
                  <w:pPr>
                    <w:pStyle w:val="a3"/>
                    <w:spacing w:line="360" w:lineRule="auto"/>
                    <w:ind w:left="561" w:hanging="141"/>
                    <w:jc w:val="both"/>
                    <w:rPr>
                      <w:rFonts w:ascii="Arial" w:hAnsi="Arial"/>
                      <w:noProof w:val="0"/>
                      <w:rtl/>
                    </w:rPr>
                  </w:pPr>
                  <w:r>
                    <w:rPr>
                      <w:rFonts w:ascii="Arial" w:hAnsi="Arial"/>
                      <w:noProof w:val="0"/>
                      <w:rtl/>
                    </w:rPr>
                    <w:t xml:space="preserve">ההחלטה ניתנת לפרסום בהיעדר שמות הצדדים ופרטים מזהים נוספים.  </w:t>
                  </w:r>
                </w:p>
                <w:p w:rsidR="00653672" w:rsidRDefault="00653672">
                  <w:pPr>
                    <w:pStyle w:val="a3"/>
                    <w:spacing w:line="360" w:lineRule="auto"/>
                    <w:ind w:left="561" w:hanging="141"/>
                    <w:jc w:val="both"/>
                    <w:rPr>
                      <w:rFonts w:ascii="Arial" w:hAnsi="Arial"/>
                      <w:noProof w:val="0"/>
                      <w:rtl/>
                    </w:rPr>
                  </w:pPr>
                </w:p>
                <w:p w:rsidR="00653672" w:rsidRDefault="00653672">
                  <w:pPr>
                    <w:pStyle w:val="a3"/>
                    <w:spacing w:line="360" w:lineRule="auto"/>
                    <w:jc w:val="both"/>
                    <w:rPr>
                      <w:rFonts w:ascii="Arial" w:hAnsi="Arial"/>
                      <w:noProof w:val="0"/>
                      <w:rtl/>
                    </w:rPr>
                  </w:pPr>
                </w:p>
                <w:p w:rsidR="00653672" w:rsidRDefault="00653672">
                  <w:pPr>
                    <w:bidi w:val="0"/>
                    <w:jc w:val="center"/>
                    <w:rPr>
                      <w:rFonts w:ascii="Arial" w:hAnsi="Arial"/>
                      <w:b/>
                      <w:bCs/>
                      <w:noProof w:val="0"/>
                      <w:sz w:val="28"/>
                      <w:szCs w:val="28"/>
                      <w:u w:val="single"/>
                    </w:rPr>
                  </w:pPr>
                </w:p>
              </w:tc>
            </w:tr>
          </w:tbl>
          <w:p w:rsidR="00653672" w:rsidRDefault="00653672">
            <w:pPr>
              <w:rPr>
                <w:rFonts w:ascii="Arial" w:hAnsi="Arial"/>
                <w:b/>
                <w:bCs/>
                <w:sz w:val="26"/>
                <w:szCs w:val="26"/>
              </w:rPr>
            </w:pPr>
          </w:p>
        </w:tc>
        <w:tc>
          <w:tcPr>
            <w:tcW w:w="222" w:type="dxa"/>
          </w:tcPr>
          <w:p w:rsidR="00653672" w:rsidRDefault="00653672">
            <w:pPr>
              <w:suppressLineNumbers/>
              <w:rPr>
                <w:sz w:val="26"/>
                <w:szCs w:val="26"/>
                <w:rtl/>
              </w:rPr>
            </w:pPr>
          </w:p>
        </w:tc>
      </w:tr>
      <w:tr w:rsidR="00653672" w:rsidTr="00653672">
        <w:trPr>
          <w:jc w:val="center"/>
        </w:trPr>
        <w:tc>
          <w:tcPr>
            <w:tcW w:w="9252" w:type="dxa"/>
          </w:tcPr>
          <w:p w:rsidR="00653672" w:rsidRDefault="00653672">
            <w:pPr>
              <w:suppressLineNumbers/>
              <w:rPr>
                <w:rFonts w:ascii="Arial" w:hAnsi="Arial"/>
                <w:b/>
                <w:bCs/>
                <w:noProof w:val="0"/>
                <w:sz w:val="26"/>
                <w:szCs w:val="26"/>
              </w:rPr>
            </w:pPr>
          </w:p>
        </w:tc>
        <w:tc>
          <w:tcPr>
            <w:tcW w:w="222" w:type="dxa"/>
          </w:tcPr>
          <w:p w:rsidR="00653672" w:rsidRDefault="00653672">
            <w:pPr>
              <w:suppressLineNumbers/>
              <w:rPr>
                <w:b/>
                <w:bCs/>
                <w:noProof w:val="0"/>
                <w:sz w:val="26"/>
                <w:szCs w:val="26"/>
                <w:rtl/>
              </w:rPr>
            </w:pPr>
          </w:p>
        </w:tc>
      </w:tr>
      <w:tr w:rsidR="00653672" w:rsidTr="00653672">
        <w:trPr>
          <w:jc w:val="center"/>
        </w:trPr>
        <w:tc>
          <w:tcPr>
            <w:tcW w:w="9474" w:type="dxa"/>
            <w:gridSpan w:val="2"/>
          </w:tcPr>
          <w:p w:rsidR="00653672" w:rsidRDefault="00653672">
            <w:pPr>
              <w:suppressLineNumbers/>
              <w:rPr>
                <w:rFonts w:ascii="Arial" w:hAnsi="Arial"/>
                <w:b/>
                <w:bCs/>
                <w:noProof w:val="0"/>
                <w:sz w:val="26"/>
                <w:szCs w:val="26"/>
              </w:rPr>
            </w:pPr>
          </w:p>
        </w:tc>
      </w:tr>
      <w:tr w:rsidR="00653672" w:rsidTr="00653672">
        <w:trPr>
          <w:jc w:val="center"/>
        </w:trPr>
        <w:tc>
          <w:tcPr>
            <w:tcW w:w="9252" w:type="dxa"/>
          </w:tcPr>
          <w:p w:rsidR="00653672" w:rsidRDefault="00653672">
            <w:pPr>
              <w:suppressLineNumbers/>
              <w:rPr>
                <w:rFonts w:ascii="Arial" w:hAnsi="Arial"/>
                <w:b/>
                <w:bCs/>
                <w:noProof w:val="0"/>
                <w:sz w:val="26"/>
                <w:szCs w:val="26"/>
              </w:rPr>
            </w:pPr>
          </w:p>
        </w:tc>
        <w:tc>
          <w:tcPr>
            <w:tcW w:w="222" w:type="dxa"/>
          </w:tcPr>
          <w:p w:rsidR="00653672" w:rsidRDefault="00653672">
            <w:pPr>
              <w:suppressLineNumbers/>
              <w:rPr>
                <w:rFonts w:ascii="Arial" w:hAnsi="Arial"/>
                <w:b/>
                <w:bCs/>
                <w:noProof w:val="0"/>
                <w:sz w:val="26"/>
                <w:szCs w:val="26"/>
              </w:rPr>
            </w:pPr>
          </w:p>
        </w:tc>
      </w:tr>
      <w:tr w:rsidR="00653672" w:rsidTr="00653672">
        <w:trPr>
          <w:jc w:val="center"/>
        </w:trPr>
        <w:tc>
          <w:tcPr>
            <w:tcW w:w="9474" w:type="dxa"/>
            <w:gridSpan w:val="2"/>
          </w:tcPr>
          <w:p w:rsidR="00653672" w:rsidRDefault="00653672">
            <w:pPr>
              <w:suppressLineNumbers/>
              <w:rPr>
                <w:rtl/>
              </w:rPr>
            </w:pPr>
          </w:p>
        </w:tc>
      </w:tr>
      <w:tr w:rsidR="00653672" w:rsidTr="00653672">
        <w:trPr>
          <w:jc w:val="center"/>
        </w:trPr>
        <w:tc>
          <w:tcPr>
            <w:tcW w:w="9252" w:type="dxa"/>
          </w:tcPr>
          <w:p w:rsidR="00653672" w:rsidRDefault="00653672">
            <w:pPr>
              <w:rPr>
                <w:rFonts w:ascii="David" w:eastAsia="David" w:hAnsi="David"/>
                <w:b/>
                <w:bCs/>
                <w:noProof w:val="0"/>
                <w:rtl/>
              </w:rPr>
            </w:pPr>
          </w:p>
        </w:tc>
        <w:tc>
          <w:tcPr>
            <w:tcW w:w="222" w:type="dxa"/>
          </w:tcPr>
          <w:p w:rsidR="00653672" w:rsidRDefault="00BE572B">
            <w:pPr>
              <w:rPr>
                <w:b/>
                <w:bCs/>
                <w:sz w:val="26"/>
                <w:szCs w:val="26"/>
              </w:rPr>
            </w:pPr>
            <w:sdt>
              <w:sdtPr>
                <w:rPr>
                  <w:b/>
                  <w:bCs/>
                  <w:sz w:val="26"/>
                  <w:szCs w:val="26"/>
                  <w:rtl/>
                </w:rPr>
                <w:alias w:val="3153"/>
                <w:tag w:val="3153"/>
                <w:id w:val="-1042055233"/>
                <w:lock w:val="contentLocked"/>
                <w:placeholder>
                  <w:docPart w:val="5E9C389B3A0945FEAD4030FA78C1C1C1"/>
                </w:placeholder>
                <w:text w:multiLine="1"/>
              </w:sdtPr>
              <w:sdtEndPr/>
              <w:sdtContent/>
            </w:sdt>
          </w:p>
          <w:p w:rsidR="00653672" w:rsidRDefault="00653672">
            <w:pPr>
              <w:rPr>
                <w:b/>
                <w:bCs/>
                <w:sz w:val="26"/>
                <w:szCs w:val="26"/>
                <w:rtl/>
              </w:rPr>
            </w:pPr>
          </w:p>
        </w:tc>
      </w:tr>
      <w:tr w:rsidR="00653672" w:rsidTr="00653672">
        <w:trPr>
          <w:jc w:val="center"/>
        </w:trPr>
        <w:tc>
          <w:tcPr>
            <w:tcW w:w="9474" w:type="dxa"/>
            <w:gridSpan w:val="2"/>
          </w:tcPr>
          <w:p w:rsidR="00653672" w:rsidRDefault="00653672">
            <w:pPr>
              <w:suppressLineNumbers/>
              <w:rPr>
                <w:rFonts w:ascii="Arial" w:hAnsi="Arial"/>
                <w:b/>
                <w:bCs/>
                <w:noProof w:val="0"/>
                <w:sz w:val="26"/>
                <w:szCs w:val="26"/>
              </w:rPr>
            </w:pPr>
          </w:p>
        </w:tc>
      </w:tr>
    </w:tbl>
    <w:p w:rsidR="00653672" w:rsidRDefault="00653672" w:rsidP="00653672">
      <w:pPr>
        <w:spacing w:line="360" w:lineRule="auto"/>
        <w:jc w:val="both"/>
        <w:rPr>
          <w:rFonts w:ascii="Arial" w:hAnsi="Arial"/>
          <w:noProof w:val="0"/>
          <w:rtl/>
        </w:rPr>
      </w:pPr>
    </w:p>
    <w:p w:rsidR="00653672" w:rsidRDefault="00653672" w:rsidP="00653672">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ל'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דצמבר 2024</w:t>
          </w:r>
        </w:sdtContent>
      </w:sdt>
      <w:r>
        <w:rPr>
          <w:rFonts w:ascii="Arial" w:hAnsi="Arial"/>
          <w:noProof w:val="0"/>
          <w:rtl/>
        </w:rPr>
        <w:t>, בהעדר הצדדים.</w:t>
      </w:r>
    </w:p>
    <w:p w:rsidR="00653672" w:rsidRDefault="00BE572B" w:rsidP="00653672">
      <w:pPr>
        <w:tabs>
          <w:tab w:val="left" w:pos="2553"/>
        </w:tabs>
        <w:ind w:left="5040"/>
        <w:rPr>
          <w:rtl/>
        </w:rPr>
      </w:pPr>
      <w:sdt>
        <w:sdtPr>
          <w:rPr>
            <w:rtl/>
          </w:rPr>
          <w:alias w:val="2045"/>
          <w:tag w:val="2045"/>
          <w:id w:val="740689340"/>
          <w:placeholder>
            <w:docPart w:val="840E439D48DC45BCA8699E0ADD09AC2D"/>
          </w:placeholder>
          <w:showingPlcHdr/>
          <w:text w:multiLine="1"/>
        </w:sdtPr>
        <w:sdtEndPr/>
        <w:sdtContent>
          <w:r w:rsidR="00653672">
            <w:rPr>
              <w:rtl/>
            </w:rPr>
            <w:t xml:space="preserve">     </w:t>
          </w:r>
        </w:sdtContent>
      </w:sdt>
    </w:p>
    <w:p w:rsidR="00653672" w:rsidRDefault="00653672" w:rsidP="00653672">
      <w:pPr>
        <w:tabs>
          <w:tab w:val="left" w:pos="2553"/>
        </w:tabs>
        <w:rPr>
          <w:rtl/>
        </w:rPr>
      </w:pPr>
      <w:r>
        <w:rPr>
          <w:rtl/>
        </w:rPr>
        <w:tab/>
      </w:r>
      <w:r>
        <w:rPr>
          <w:rtl/>
        </w:rPr>
        <w:tab/>
      </w:r>
      <w:r>
        <w:rPr>
          <w:rtl/>
        </w:rPr>
        <w:tab/>
      </w:r>
      <w:r>
        <w:rPr>
          <w:rtl/>
        </w:rPr>
        <w:tab/>
        <w:t xml:space="preserve">        </w:t>
      </w:r>
      <w:sdt>
        <w:sdtPr>
          <w:rPr>
            <w:rtl/>
          </w:rPr>
          <w:alias w:val="MergeField"/>
          <w:tag w:val="1237"/>
          <w:id w:val="704068159"/>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653672" w:rsidRDefault="00653672" w:rsidP="00653672">
      <w:pPr>
        <w:tabs>
          <w:tab w:val="left" w:pos="2553"/>
        </w:tabs>
        <w:rPr>
          <w:rFonts w:ascii="Arial" w:hAnsi="Arial"/>
          <w:noProof w:val="0"/>
        </w:rPr>
      </w:pPr>
    </w:p>
    <w:p w:rsidR="00426FC5" w:rsidRDefault="00426FC5"/>
    <w:sectPr w:rsidR="00426FC5" w:rsidSect="009C56F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672"/>
    <w:rsid w:val="00426FC5"/>
    <w:rsid w:val="00653672"/>
    <w:rsid w:val="009C56FC"/>
    <w:rsid w:val="00BF3E07"/>
    <w:rsid w:val="00DD46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B684DB-8B4F-4D5B-8CAC-905EB32A2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67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653672"/>
    <w:rPr>
      <w:color w:val="0000FF"/>
      <w:u w:val="single"/>
    </w:rPr>
  </w:style>
  <w:style w:type="paragraph" w:styleId="a3">
    <w:name w:val="List Paragraph"/>
    <w:basedOn w:val="a"/>
    <w:uiPriority w:val="34"/>
    <w:qFormat/>
    <w:rsid w:val="00653672"/>
    <w:pPr>
      <w:ind w:left="720"/>
      <w:contextualSpacing/>
    </w:pPr>
  </w:style>
  <w:style w:type="table" w:styleId="a4">
    <w:name w:val="Table Grid"/>
    <w:basedOn w:val="a1"/>
    <w:rsid w:val="0065367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653672"/>
    <w:pPr>
      <w:tabs>
        <w:tab w:val="center" w:pos="4153"/>
        <w:tab w:val="right" w:pos="8306"/>
      </w:tabs>
    </w:pPr>
  </w:style>
  <w:style w:type="character" w:customStyle="1" w:styleId="a6">
    <w:name w:val="כותרת עליונה תו"/>
    <w:basedOn w:val="a0"/>
    <w:link w:val="a5"/>
    <w:semiHidden/>
    <w:rsid w:val="00653672"/>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641351">
      <w:bodyDiv w:val="1"/>
      <w:marLeft w:val="0"/>
      <w:marRight w:val="0"/>
      <w:marTop w:val="0"/>
      <w:marBottom w:val="0"/>
      <w:divBdr>
        <w:top w:val="none" w:sz="0" w:space="0" w:color="auto"/>
        <w:left w:val="none" w:sz="0" w:space="0" w:color="auto"/>
        <w:bottom w:val="none" w:sz="0" w:space="0" w:color="auto"/>
        <w:right w:val="none" w:sz="0" w:space="0" w:color="auto"/>
      </w:divBdr>
    </w:div>
    <w:div w:id="1686832580">
      <w:bodyDiv w:val="1"/>
      <w:marLeft w:val="0"/>
      <w:marRight w:val="0"/>
      <w:marTop w:val="0"/>
      <w:marBottom w:val="0"/>
      <w:divBdr>
        <w:top w:val="none" w:sz="0" w:space="0" w:color="auto"/>
        <w:left w:val="none" w:sz="0" w:space="0" w:color="auto"/>
        <w:bottom w:val="none" w:sz="0" w:space="0" w:color="auto"/>
        <w:right w:val="none" w:sz="0" w:space="0" w:color="auto"/>
      </w:divBdr>
    </w:div>
    <w:div w:id="202089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nevo.co.il/safrut/bookgroup/2067"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9C389B3A0945FEAD4030FA78C1C1C1"/>
        <w:category>
          <w:name w:val="כללי"/>
          <w:gallery w:val="placeholder"/>
        </w:category>
        <w:types>
          <w:type w:val="bbPlcHdr"/>
        </w:types>
        <w:behaviors>
          <w:behavior w:val="content"/>
        </w:behaviors>
        <w:guid w:val="{40C24010-080F-454D-805A-FC71A6783FD9}"/>
      </w:docPartPr>
      <w:docPartBody>
        <w:p w:rsidR="00BC668B" w:rsidRDefault="00535D64" w:rsidP="00535D64">
          <w:pPr>
            <w:pStyle w:val="5E9C389B3A0945FEAD4030FA78C1C1C1"/>
          </w:pPr>
          <w:r>
            <w:rPr>
              <w:b/>
              <w:bCs/>
              <w:sz w:val="26"/>
              <w:szCs w:val="26"/>
              <w:rtl/>
            </w:rPr>
            <w:t>שם צד ג' ללא  שם של חסוי</w:t>
          </w:r>
        </w:p>
      </w:docPartBody>
    </w:docPart>
    <w:docPart>
      <w:docPartPr>
        <w:name w:val="840E439D48DC45BCA8699E0ADD09AC2D"/>
        <w:category>
          <w:name w:val="כללי"/>
          <w:gallery w:val="placeholder"/>
        </w:category>
        <w:types>
          <w:type w:val="bbPlcHdr"/>
        </w:types>
        <w:behaviors>
          <w:behavior w:val="content"/>
        </w:behaviors>
        <w:guid w:val="{70328048-BA3B-4121-A439-DBC0163D4C68}"/>
      </w:docPartPr>
      <w:docPartBody>
        <w:p w:rsidR="00BC668B" w:rsidRDefault="00535D64" w:rsidP="00535D64">
          <w:pPr>
            <w:pStyle w:val="840E439D48DC45BCA8699E0ADD09AC2D"/>
          </w:pPr>
          <w:r>
            <w:rPr>
              <w:rtl/>
            </w:rPr>
            <w:t xml:space="preserve">     </w:t>
          </w:r>
        </w:p>
      </w:docPartBody>
    </w:docPart>
    <w:docPart>
      <w:docPartPr>
        <w:name w:val="7AF3BE0EFE4C4397ABE3E439848684D9"/>
        <w:category>
          <w:name w:val="כללי"/>
          <w:gallery w:val="placeholder"/>
        </w:category>
        <w:types>
          <w:type w:val="bbPlcHdr"/>
        </w:types>
        <w:behaviors>
          <w:behavior w:val="content"/>
        </w:behaviors>
        <w:guid w:val="{ECCD7B24-B4C9-40CB-BD11-A210DB3B8F7E}"/>
      </w:docPartPr>
      <w:docPartBody>
        <w:p w:rsidR="00BC668B" w:rsidRDefault="00535D64" w:rsidP="00535D64">
          <w:pPr>
            <w:pStyle w:val="7AF3BE0EFE4C4397ABE3E439848684D9"/>
          </w:pPr>
          <w:r>
            <w:rPr>
              <w:b/>
              <w:bCs/>
              <w:sz w:val="26"/>
              <w:szCs w:val="26"/>
              <w:rtl/>
            </w:rPr>
            <w:t>שם תיק ללא שמות חסויים</w:t>
          </w:r>
        </w:p>
      </w:docPartBody>
    </w:docPart>
    <w:docPart>
      <w:docPartPr>
        <w:name w:val="747659CE6BAD43CBA93D8225CB415699"/>
        <w:category>
          <w:name w:val="כללי"/>
          <w:gallery w:val="placeholder"/>
        </w:category>
        <w:types>
          <w:type w:val="bbPlcHdr"/>
        </w:types>
        <w:behaviors>
          <w:behavior w:val="content"/>
        </w:behaviors>
        <w:guid w:val="{58277094-ED9C-449B-B227-B743918FB44D}"/>
      </w:docPartPr>
      <w:docPartBody>
        <w:p w:rsidR="00BC668B" w:rsidRDefault="00535D64" w:rsidP="00535D64">
          <w:pPr>
            <w:pStyle w:val="747659CE6BAD43CBA93D8225CB415699"/>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D64"/>
    <w:rsid w:val="00137B67"/>
    <w:rsid w:val="00535D64"/>
    <w:rsid w:val="009620F5"/>
    <w:rsid w:val="00BC66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47CE372E8884BD69B25CBC818A61E60">
    <w:name w:val="947CE372E8884BD69B25CBC818A61E60"/>
    <w:rsid w:val="00535D64"/>
    <w:pPr>
      <w:bidi/>
    </w:pPr>
  </w:style>
  <w:style w:type="paragraph" w:customStyle="1" w:styleId="5E9C389B3A0945FEAD4030FA78C1C1C1">
    <w:name w:val="5E9C389B3A0945FEAD4030FA78C1C1C1"/>
    <w:rsid w:val="00535D64"/>
    <w:pPr>
      <w:bidi/>
    </w:pPr>
  </w:style>
  <w:style w:type="paragraph" w:customStyle="1" w:styleId="840E439D48DC45BCA8699E0ADD09AC2D">
    <w:name w:val="840E439D48DC45BCA8699E0ADD09AC2D"/>
    <w:rsid w:val="00535D64"/>
    <w:pPr>
      <w:bidi/>
    </w:pPr>
  </w:style>
  <w:style w:type="paragraph" w:customStyle="1" w:styleId="7AF3BE0EFE4C4397ABE3E439848684D9">
    <w:name w:val="7AF3BE0EFE4C4397ABE3E439848684D9"/>
    <w:rsid w:val="00535D64"/>
    <w:pPr>
      <w:bidi/>
    </w:pPr>
  </w:style>
  <w:style w:type="paragraph" w:customStyle="1" w:styleId="747659CE6BAD43CBA93D8225CB415699">
    <w:name w:val="747659CE6BAD43CBA93D8225CB415699"/>
    <w:rsid w:val="00535D6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3489</Words>
  <Characters>17448</Characters>
  <Application>Microsoft Office Word</Application>
  <DocSecurity>0</DocSecurity>
  <Lines>145</Lines>
  <Paragraphs>41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נעמה שחר</cp:lastModifiedBy>
  <cp:revision>2</cp:revision>
  <dcterms:created xsi:type="dcterms:W3CDTF">2025-01-05T06:16:00Z</dcterms:created>
  <dcterms:modified xsi:type="dcterms:W3CDTF">2025-01-05T06:16:00Z</dcterms:modified>
</cp:coreProperties>
</file>